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46" w:rsidRDefault="00F26146" w:rsidP="00F26146">
      <w:pPr>
        <w:pStyle w:val="Nagwek1"/>
        <w:jc w:val="center"/>
      </w:pPr>
      <w:bookmarkStart w:id="0" w:name="_Toc40045617"/>
      <w:r>
        <w:t>Ocena krajowego zapotrzebowania na stałe paliwa kopalne</w:t>
      </w:r>
      <w:r>
        <w:br/>
        <w:t>w perspektywie 2040 roku na tle wdrożenia rynku mocy</w:t>
      </w:r>
    </w:p>
    <w:p w:rsidR="00635AC3" w:rsidRDefault="00635AC3" w:rsidP="00635AC3">
      <w:pPr>
        <w:pStyle w:val="Nagwek1"/>
      </w:pPr>
      <w:r>
        <w:t>Streszczenie</w:t>
      </w:r>
      <w:bookmarkEnd w:id="0"/>
    </w:p>
    <w:p w:rsidR="00EF0CE4" w:rsidRDefault="00635AC3" w:rsidP="00635AC3">
      <w:r>
        <w:t>Rynek mocy jest mechanizmem stosunkowo nowym, a jego wpływ na zapotrzebowanie na węgiel kamienny i brunatny nie był</w:t>
      </w:r>
      <w:r w:rsidR="007C32BC">
        <w:t>,</w:t>
      </w:r>
      <w:r>
        <w:t xml:space="preserve"> jak dotąd</w:t>
      </w:r>
      <w:r w:rsidR="007C32BC">
        <w:t>,</w:t>
      </w:r>
      <w:r>
        <w:t xml:space="preserve"> przedmiotem badań. </w:t>
      </w:r>
      <w:r w:rsidR="007C32BC">
        <w:t>Analiza zmian w</w:t>
      </w:r>
      <w:r w:rsidR="00A56446">
        <w:t> </w:t>
      </w:r>
      <w:r w:rsidR="007C32BC">
        <w:t xml:space="preserve">kształtowaniu się użytkowania węgla w elektroenergetyce w przyszłości </w:t>
      </w:r>
      <w:r>
        <w:t>jest szczególnie istotn</w:t>
      </w:r>
      <w:r w:rsidR="007C32BC">
        <w:t>a</w:t>
      </w:r>
      <w:r>
        <w:t>, ponieważ stałe paliwa kopalne wciąż stanowią dominujący udział w</w:t>
      </w:r>
      <w:r w:rsidR="00FA6E3F">
        <w:t> </w:t>
      </w:r>
      <w:r>
        <w:t xml:space="preserve">krajowym systemie wytwarzania energii elektrycznej, a wdrożenie rynku mocy spowodowało diametralną zmianę w funkcjonowaniu rynku energii. </w:t>
      </w:r>
    </w:p>
    <w:p w:rsidR="00635AC3" w:rsidRDefault="00635AC3" w:rsidP="00635AC3">
      <w:r>
        <w:t>W świetle powyższego, główny cel rozprawy doktorskiej został sformułowany następująco:</w:t>
      </w:r>
      <w:r w:rsidRPr="003A4D2C">
        <w:t xml:space="preserve"> Ilościowa ocena wpływu wdrożenia rynku mocy na zapotrzebowanie na stałe paliwa kopalne do produkcji energii elektrycznej do 2040 roku</w:t>
      </w:r>
      <w:r>
        <w:t xml:space="preserve">. </w:t>
      </w:r>
      <w:r w:rsidRPr="009F2602">
        <w:t xml:space="preserve">W kontekście założonego celu pracy, sformułowana została następująca hipoteza badawcza: </w:t>
      </w:r>
      <w:r w:rsidR="00922F4B" w:rsidRPr="00922F4B">
        <w:t>Zapotrzebowanie na stałe paliwa kopalne w perspektywie 2040 roku obniży się niezależnie od struktury rynku energii elektrycznej, jednak wskutek wdrożenia rynku mocy zmniejszy się dynamika tych zmian</w:t>
      </w:r>
      <w:r w:rsidRPr="003F2590">
        <w:t>.</w:t>
      </w:r>
    </w:p>
    <w:p w:rsidR="00642A14" w:rsidRDefault="00635AC3" w:rsidP="00635AC3">
      <w:pPr>
        <w:rPr>
          <w:color w:val="000000" w:themeColor="text1"/>
        </w:rPr>
      </w:pPr>
      <w:bookmarkStart w:id="1" w:name="_Toc524677438"/>
      <w:bookmarkStart w:id="2" w:name="_Toc524677917"/>
      <w:bookmarkStart w:id="3" w:name="_Toc524697669"/>
      <w:bookmarkStart w:id="4" w:name="_Toc535236602"/>
      <w:r w:rsidRPr="00D01AA3">
        <w:rPr>
          <w:color w:val="000000" w:themeColor="text1"/>
        </w:rPr>
        <w:t xml:space="preserve">Rozwiązanie problemu badawczego postawionego w ramach pracy wymagało zastosowania odpowiedniej metodyki. </w:t>
      </w:r>
      <w:r w:rsidR="007C32BC">
        <w:rPr>
          <w:color w:val="000000" w:themeColor="text1"/>
        </w:rPr>
        <w:t>M</w:t>
      </w:r>
      <w:r w:rsidRPr="00D01AA3">
        <w:rPr>
          <w:color w:val="000000" w:themeColor="text1"/>
        </w:rPr>
        <w:t>etodą wykorzystywaną do badań nad systemami paliwowo-energetycznymi jest analiza systemowa, której narzędzi</w:t>
      </w:r>
      <w:r w:rsidR="002C3A21">
        <w:rPr>
          <w:color w:val="000000" w:themeColor="text1"/>
        </w:rPr>
        <w:t>ami</w:t>
      </w:r>
      <w:r w:rsidRPr="00D01AA3">
        <w:rPr>
          <w:color w:val="000000" w:themeColor="text1"/>
        </w:rPr>
        <w:t xml:space="preserve"> oceny analizy ilościowej są modele matematyczne. Opracowany został techniczno-ekonomiczny model krajowego systemu wytwarzania energii elektrycznej, sformułowany jako problem programowania liniowego, który został następnie zaimplementowany w środowisku MATLAB. W celu przeanalizowania wpływu wdrożenia rynku mocy na zapotrzebowanie na stałe paliwa kopalne wykorzystywane do produkcji energii elektrycznej opracowane zostały dwa teoretyczne scenariusze badawcze: (i) scenariusz REE – scenariusz odzwierciedlający funkcjonowanie jednotowarowego rynku energii elektrycznej oraz (ii) scenariusz RM – scenariusz odzwierciedlający funkcjonowanie rynku dwutowarowego</w:t>
      </w:r>
      <w:r w:rsidR="00757CDF">
        <w:rPr>
          <w:color w:val="000000" w:themeColor="text1"/>
        </w:rPr>
        <w:t xml:space="preserve">, w którym </w:t>
      </w:r>
      <w:r w:rsidRPr="00D01AA3">
        <w:rPr>
          <w:color w:val="000000" w:themeColor="text1"/>
        </w:rPr>
        <w:t>rynek mocy funkcjonuje równolegle do rynku energii elektrycznej.</w:t>
      </w:r>
      <w:r w:rsidR="006F0EE2">
        <w:rPr>
          <w:color w:val="000000" w:themeColor="text1"/>
        </w:rPr>
        <w:t xml:space="preserve"> </w:t>
      </w:r>
      <w:r w:rsidR="004811E9" w:rsidRPr="00F64594">
        <w:t>Kluczowymi miernikami, na podstawie których określono wpływ wdrożenia rynku mocy na zapotrzebowanie na stałe paliwa kopalne do produkcji energii elektrycznej były</w:t>
      </w:r>
      <w:r w:rsidR="004811E9">
        <w:t xml:space="preserve">: (i) </w:t>
      </w:r>
      <w:r w:rsidR="004811E9" w:rsidRPr="00F64594">
        <w:t xml:space="preserve">udział węgla kamiennego i brunatnego w strukturze </w:t>
      </w:r>
      <w:r w:rsidR="004811E9">
        <w:t>mocy osiągalnej</w:t>
      </w:r>
      <w:r w:rsidR="004811E9" w:rsidRPr="00F64594">
        <w:t xml:space="preserve"> w krajowym systemie elektroenergetyczny</w:t>
      </w:r>
      <w:r w:rsidR="00757CDF">
        <w:t>m</w:t>
      </w:r>
      <w:r w:rsidR="004811E9">
        <w:t>, (ii) udział stałych paliw kopalnych w strukturze produkcji energii elektrycznej, a także</w:t>
      </w:r>
      <w:r w:rsidR="004811E9" w:rsidRPr="00F64594">
        <w:t xml:space="preserve"> </w:t>
      </w:r>
      <w:r w:rsidR="004811E9">
        <w:t xml:space="preserve">(iii) </w:t>
      </w:r>
      <w:r w:rsidR="004811E9" w:rsidRPr="00F64594">
        <w:t>poziom zapotrzebowania na stałe paliwa kopalne do produkcji energii elektrycznej dla opracowanych scenariuszy badawczych. Ponadto</w:t>
      </w:r>
      <w:r w:rsidR="004811E9">
        <w:t xml:space="preserve"> </w:t>
      </w:r>
      <w:r w:rsidR="00625B7C">
        <w:t>porównane</w:t>
      </w:r>
      <w:r w:rsidR="004811E9" w:rsidRPr="00F64594">
        <w:t xml:space="preserve"> zostały wyniki dotyczące długoterminowego kształtowania </w:t>
      </w:r>
      <w:r w:rsidR="004811E9">
        <w:t xml:space="preserve">się </w:t>
      </w:r>
      <w:r w:rsidR="004811E9" w:rsidRPr="00F64594">
        <w:t>cen energii elektrycznej w zależności od struktury funkcjonowania rynku</w:t>
      </w:r>
      <w:r w:rsidR="004811E9">
        <w:t>.</w:t>
      </w:r>
      <w:r w:rsidR="004811E9">
        <w:rPr>
          <w:color w:val="000000" w:themeColor="text1"/>
        </w:rPr>
        <w:t xml:space="preserve"> </w:t>
      </w:r>
    </w:p>
    <w:p w:rsidR="00635AC3" w:rsidRDefault="00635AC3" w:rsidP="00635AC3">
      <w:pPr>
        <w:rPr>
          <w:color w:val="000000" w:themeColor="text1"/>
        </w:rPr>
      </w:pPr>
      <w:r w:rsidRPr="00D01AA3">
        <w:rPr>
          <w:color w:val="000000" w:themeColor="text1"/>
        </w:rPr>
        <w:t>Analiza rezultatów otrzymanych z wykorzystaniem opracowanego narzędzia badawczego umożliwiła sformułowanie wniosków końcowych</w:t>
      </w:r>
      <w:r w:rsidR="00446701">
        <w:rPr>
          <w:color w:val="000000" w:themeColor="text1"/>
        </w:rPr>
        <w:t>, spośród których najważniejszymi są</w:t>
      </w:r>
      <w:r>
        <w:rPr>
          <w:color w:val="000000" w:themeColor="text1"/>
        </w:rPr>
        <w:t xml:space="preserve">: </w:t>
      </w:r>
    </w:p>
    <w:p w:rsidR="00F80CB7" w:rsidRDefault="00F80CB7" w:rsidP="00F80CB7">
      <w:pPr>
        <w:pStyle w:val="Akapitzlist"/>
        <w:numPr>
          <w:ilvl w:val="0"/>
          <w:numId w:val="3"/>
        </w:numPr>
        <w:rPr>
          <w:color w:val="000000" w:themeColor="text1"/>
        </w:rPr>
      </w:pPr>
      <w:r w:rsidRPr="00F80CB7">
        <w:rPr>
          <w:color w:val="000000" w:themeColor="text1"/>
        </w:rPr>
        <w:t xml:space="preserve">Dekarbonizacja krajowego systemu wytwarzania energii elektrycznej jest procesem nieuniknionym w perspektywie 2040 roku. </w:t>
      </w:r>
      <w:r w:rsidR="004B3522" w:rsidRPr="00F80CB7">
        <w:rPr>
          <w:color w:val="000000" w:themeColor="text1"/>
        </w:rPr>
        <w:t>Zapotrzebowanie na węgiel kamienny</w:t>
      </w:r>
      <w:r w:rsidR="004B3522">
        <w:rPr>
          <w:color w:val="000000" w:themeColor="text1"/>
        </w:rPr>
        <w:t xml:space="preserve"> w</w:t>
      </w:r>
      <w:r w:rsidR="00625B7C">
        <w:rPr>
          <w:color w:val="000000" w:themeColor="text1"/>
        </w:rPr>
        <w:t> </w:t>
      </w:r>
      <w:r w:rsidR="004B3522">
        <w:rPr>
          <w:color w:val="000000" w:themeColor="text1"/>
        </w:rPr>
        <w:t xml:space="preserve">analizowanym okresie </w:t>
      </w:r>
      <w:r w:rsidR="00625B7C">
        <w:rPr>
          <w:color w:val="000000" w:themeColor="text1"/>
        </w:rPr>
        <w:t>zmniejsza</w:t>
      </w:r>
      <w:r w:rsidR="004B3522" w:rsidRPr="00F80CB7">
        <w:rPr>
          <w:color w:val="000000" w:themeColor="text1"/>
        </w:rPr>
        <w:t xml:space="preserve"> się o </w:t>
      </w:r>
      <w:r w:rsidR="00495E09">
        <w:rPr>
          <w:color w:val="000000" w:themeColor="text1"/>
        </w:rPr>
        <w:t>86,9</w:t>
      </w:r>
      <w:r w:rsidR="004B3522" w:rsidRPr="00F80CB7">
        <w:rPr>
          <w:color w:val="000000" w:themeColor="text1"/>
        </w:rPr>
        <w:t xml:space="preserve">% w scenariuszu REE i o </w:t>
      </w:r>
      <w:r w:rsidR="00495E09">
        <w:rPr>
          <w:color w:val="000000" w:themeColor="text1"/>
        </w:rPr>
        <w:t>87,9</w:t>
      </w:r>
      <w:r w:rsidR="004B3522" w:rsidRPr="00F80CB7">
        <w:rPr>
          <w:color w:val="000000" w:themeColor="text1"/>
        </w:rPr>
        <w:t>% w</w:t>
      </w:r>
      <w:r w:rsidR="00625B7C">
        <w:rPr>
          <w:color w:val="000000" w:themeColor="text1"/>
        </w:rPr>
        <w:t> </w:t>
      </w:r>
      <w:r w:rsidR="004B3522">
        <w:rPr>
          <w:color w:val="000000" w:themeColor="text1"/>
        </w:rPr>
        <w:t>scenariuszu RM.</w:t>
      </w:r>
      <w:r w:rsidR="004B3522" w:rsidRPr="00F80CB7">
        <w:rPr>
          <w:color w:val="000000" w:themeColor="text1"/>
        </w:rPr>
        <w:t xml:space="preserve"> </w:t>
      </w:r>
      <w:r w:rsidRPr="00F80CB7">
        <w:rPr>
          <w:color w:val="000000" w:themeColor="text1"/>
        </w:rPr>
        <w:t>W przypadku węgla brunatnego zapotrzebowanie</w:t>
      </w:r>
      <w:r w:rsidR="00625B7C">
        <w:rPr>
          <w:color w:val="000000" w:themeColor="text1"/>
        </w:rPr>
        <w:t xml:space="preserve"> </w:t>
      </w:r>
      <w:r w:rsidR="00B2699C">
        <w:rPr>
          <w:color w:val="000000" w:themeColor="text1"/>
        </w:rPr>
        <w:t>obniża się</w:t>
      </w:r>
      <w:r w:rsidR="00625B7C">
        <w:rPr>
          <w:color w:val="000000" w:themeColor="text1"/>
        </w:rPr>
        <w:t xml:space="preserve"> </w:t>
      </w:r>
      <w:r w:rsidR="00625B7C">
        <w:rPr>
          <w:color w:val="000000" w:themeColor="text1"/>
        </w:rPr>
        <w:lastRenderedPageBreak/>
        <w:t>o</w:t>
      </w:r>
      <w:r w:rsidR="00AF3078">
        <w:rPr>
          <w:color w:val="000000" w:themeColor="text1"/>
        </w:rPr>
        <w:t> </w:t>
      </w:r>
      <w:r w:rsidR="00495E09">
        <w:rPr>
          <w:color w:val="000000" w:themeColor="text1"/>
        </w:rPr>
        <w:t>91,8</w:t>
      </w:r>
      <w:r w:rsidRPr="00F80CB7">
        <w:rPr>
          <w:color w:val="000000" w:themeColor="text1"/>
        </w:rPr>
        <w:t xml:space="preserve">% w scenariuszu REE oraz o </w:t>
      </w:r>
      <w:r w:rsidR="00495E09">
        <w:rPr>
          <w:color w:val="000000" w:themeColor="text1"/>
        </w:rPr>
        <w:t>93,0</w:t>
      </w:r>
      <w:r w:rsidRPr="00F80CB7">
        <w:rPr>
          <w:color w:val="000000" w:themeColor="text1"/>
        </w:rPr>
        <w:t xml:space="preserve">% w scenariuszu RM. Wyniki </w:t>
      </w:r>
      <w:r w:rsidR="00FA3E85">
        <w:rPr>
          <w:color w:val="000000" w:themeColor="text1"/>
        </w:rPr>
        <w:t>badań</w:t>
      </w:r>
      <w:r w:rsidRPr="00F80CB7">
        <w:rPr>
          <w:color w:val="000000" w:themeColor="text1"/>
        </w:rPr>
        <w:t xml:space="preserve"> wskazują, że wdrożenie rynku mocy powoduje</w:t>
      </w:r>
      <w:r w:rsidR="00FA3E85">
        <w:rPr>
          <w:color w:val="000000" w:themeColor="text1"/>
        </w:rPr>
        <w:t xml:space="preserve"> </w:t>
      </w:r>
      <w:r w:rsidR="00AC03D3">
        <w:rPr>
          <w:color w:val="000000" w:themeColor="text1"/>
        </w:rPr>
        <w:t>opóźnienie</w:t>
      </w:r>
      <w:r w:rsidR="00FA3E85">
        <w:rPr>
          <w:color w:val="000000" w:themeColor="text1"/>
        </w:rPr>
        <w:t xml:space="preserve"> procesu dekarbonizacji krajowej energetyki</w:t>
      </w:r>
      <w:r w:rsidR="00977F46">
        <w:rPr>
          <w:color w:val="000000" w:themeColor="text1"/>
        </w:rPr>
        <w:t>. Spowolnienie procesu odstawiania jednostek węglowych obserwowane jest zwłaszcza w latach 2021–20</w:t>
      </w:r>
      <w:r w:rsidR="00495E09">
        <w:rPr>
          <w:color w:val="000000" w:themeColor="text1"/>
        </w:rPr>
        <w:t>30</w:t>
      </w:r>
      <w:r w:rsidR="00DA5CD6">
        <w:rPr>
          <w:color w:val="000000" w:themeColor="text1"/>
        </w:rPr>
        <w:t xml:space="preserve"> w</w:t>
      </w:r>
      <w:r w:rsidR="003E25E0">
        <w:rPr>
          <w:color w:val="000000" w:themeColor="text1"/>
        </w:rPr>
        <w:t> </w:t>
      </w:r>
      <w:r w:rsidR="00DA5CD6">
        <w:rPr>
          <w:color w:val="000000" w:themeColor="text1"/>
        </w:rPr>
        <w:t>przypadku węgla kamiennego oraz w latach 20</w:t>
      </w:r>
      <w:r w:rsidR="00495E09">
        <w:rPr>
          <w:color w:val="000000" w:themeColor="text1"/>
        </w:rPr>
        <w:t>31</w:t>
      </w:r>
      <w:r w:rsidR="00DA5CD6">
        <w:rPr>
          <w:color w:val="000000" w:themeColor="text1"/>
        </w:rPr>
        <w:t>–203</w:t>
      </w:r>
      <w:r w:rsidR="00495E09">
        <w:rPr>
          <w:color w:val="000000" w:themeColor="text1"/>
        </w:rPr>
        <w:t>2</w:t>
      </w:r>
      <w:r w:rsidR="00DA5CD6">
        <w:rPr>
          <w:color w:val="000000" w:themeColor="text1"/>
        </w:rPr>
        <w:t xml:space="preserve"> w przypadku węgla brunatnego.</w:t>
      </w:r>
    </w:p>
    <w:p w:rsidR="00451B1E" w:rsidRDefault="00451B1E" w:rsidP="00F80CB7">
      <w:pPr>
        <w:pStyle w:val="Akapitzlist"/>
        <w:numPr>
          <w:ilvl w:val="0"/>
          <w:numId w:val="3"/>
        </w:numPr>
        <w:rPr>
          <w:color w:val="000000" w:themeColor="text1"/>
        </w:rPr>
      </w:pPr>
      <w:r w:rsidRPr="00451B1E">
        <w:rPr>
          <w:color w:val="000000" w:themeColor="text1"/>
        </w:rPr>
        <w:t>Zapotrzebowanie na węgiel kamienny ze strony energetyki zmniejsza się</w:t>
      </w:r>
      <w:r w:rsidR="00FA3E85">
        <w:rPr>
          <w:color w:val="000000" w:themeColor="text1"/>
        </w:rPr>
        <w:t xml:space="preserve"> </w:t>
      </w:r>
      <w:r w:rsidRPr="00451B1E">
        <w:rPr>
          <w:color w:val="000000" w:themeColor="text1"/>
        </w:rPr>
        <w:t>niezależnie od rozważanego scenariusza badawczego. Inna jest jednak dynamika tych zmian. Wyróżnia się siedem charakterystycznych okresów, dla których występują określone różnice pomiędzy zapotrzebowaniem na węgiel kamienny w analizowanych scenariuszach</w:t>
      </w:r>
      <w:r w:rsidR="004457F4">
        <w:rPr>
          <w:color w:val="000000" w:themeColor="text1"/>
        </w:rPr>
        <w:t>:</w:t>
      </w:r>
    </w:p>
    <w:p w:rsidR="00504621" w:rsidRDefault="00504621" w:rsidP="00504621">
      <w:pPr>
        <w:pStyle w:val="Akapitzlist"/>
        <w:numPr>
          <w:ilvl w:val="1"/>
          <w:numId w:val="3"/>
        </w:numPr>
        <w:spacing w:before="120" w:after="120"/>
        <w:rPr>
          <w:color w:val="000000" w:themeColor="text1"/>
        </w:rPr>
      </w:pPr>
      <w:r w:rsidRPr="000954BA">
        <w:rPr>
          <w:color w:val="000000" w:themeColor="text1"/>
        </w:rPr>
        <w:t>lata 2021–2024: zapotrzebowanie na węgiel kamienny w scenariuszu RM obniża się z 37,2 mln Mg do 32,3 mln Mg i jest wyższe od zapotrzebowania w</w:t>
      </w:r>
      <w:r w:rsidR="00A56446">
        <w:rPr>
          <w:color w:val="000000" w:themeColor="text1"/>
        </w:rPr>
        <w:t> </w:t>
      </w:r>
      <w:r w:rsidRPr="000954BA">
        <w:rPr>
          <w:color w:val="000000" w:themeColor="text1"/>
        </w:rPr>
        <w:t>scenariuszu REE średnio o 9,7%;</w:t>
      </w:r>
    </w:p>
    <w:p w:rsidR="00504621" w:rsidRDefault="00504621" w:rsidP="00504621">
      <w:pPr>
        <w:pStyle w:val="Akapitzlist"/>
        <w:numPr>
          <w:ilvl w:val="1"/>
          <w:numId w:val="3"/>
        </w:numPr>
        <w:spacing w:before="120" w:after="120"/>
        <w:rPr>
          <w:color w:val="000000" w:themeColor="text1"/>
        </w:rPr>
      </w:pPr>
      <w:r>
        <w:rPr>
          <w:color w:val="000000" w:themeColor="text1"/>
        </w:rPr>
        <w:t xml:space="preserve">lata 2025–2026: zapotrzebowanie na węgiel kamienny w scenariuszu RM wynosi 31,4 </w:t>
      </w:r>
      <w:r w:rsidR="00872000">
        <w:rPr>
          <w:color w:val="000000" w:themeColor="text1"/>
        </w:rPr>
        <w:t xml:space="preserve">mln Mg </w:t>
      </w:r>
      <w:r>
        <w:rPr>
          <w:color w:val="000000" w:themeColor="text1"/>
        </w:rPr>
        <w:t>oraz 31,3 mln Mg i jest większe od zapotrzebowania w</w:t>
      </w:r>
      <w:r>
        <w:t> </w:t>
      </w:r>
      <w:r>
        <w:rPr>
          <w:color w:val="000000" w:themeColor="text1"/>
        </w:rPr>
        <w:t>scenariuszu REE o 7,8% oraz o 10,2%;</w:t>
      </w:r>
    </w:p>
    <w:p w:rsidR="00504621" w:rsidRDefault="00504621" w:rsidP="00504621">
      <w:pPr>
        <w:pStyle w:val="Akapitzlist"/>
        <w:numPr>
          <w:ilvl w:val="1"/>
          <w:numId w:val="3"/>
        </w:numPr>
        <w:spacing w:before="120" w:after="120"/>
        <w:rPr>
          <w:color w:val="000000" w:themeColor="text1"/>
        </w:rPr>
      </w:pPr>
      <w:r>
        <w:rPr>
          <w:color w:val="000000" w:themeColor="text1"/>
        </w:rPr>
        <w:t>lata 2027–2029: zapotrzebowanie na węgiel kamienny w scenariuszu RM maleje do 21,9 mln Mg, jednak różnice pomiędzy scenariuszami wzrastają do 19,2% w 2029 roku;</w:t>
      </w:r>
    </w:p>
    <w:p w:rsidR="00504621" w:rsidRPr="000954BA" w:rsidRDefault="00504621" w:rsidP="00504621">
      <w:pPr>
        <w:pStyle w:val="Akapitzlist"/>
        <w:numPr>
          <w:ilvl w:val="1"/>
          <w:numId w:val="3"/>
        </w:numPr>
        <w:spacing w:before="120" w:after="120"/>
        <w:rPr>
          <w:color w:val="000000" w:themeColor="text1"/>
        </w:rPr>
      </w:pPr>
      <w:r>
        <w:rPr>
          <w:color w:val="000000" w:themeColor="text1"/>
        </w:rPr>
        <w:t>2030 r.: zapotrzebowanie na węgiel kamienny w scenariuszu RM znacznie się obniża do i osiąga wartość 17,9 mln Mg, co stanowi 13,7% więcej niż w</w:t>
      </w:r>
      <w:r w:rsidR="000B4191">
        <w:rPr>
          <w:color w:val="000000" w:themeColor="text1"/>
        </w:rPr>
        <w:t> </w:t>
      </w:r>
      <w:r>
        <w:rPr>
          <w:color w:val="000000" w:themeColor="text1"/>
        </w:rPr>
        <w:t>przypadku scenariusza R</w:t>
      </w:r>
      <w:r w:rsidR="00352C48">
        <w:rPr>
          <w:color w:val="000000" w:themeColor="text1"/>
        </w:rPr>
        <w:t>EE</w:t>
      </w:r>
      <w:r>
        <w:rPr>
          <w:color w:val="000000" w:themeColor="text1"/>
        </w:rPr>
        <w:t>;</w:t>
      </w:r>
    </w:p>
    <w:p w:rsidR="00504621" w:rsidRPr="00906A58" w:rsidRDefault="00504621" w:rsidP="00504621">
      <w:pPr>
        <w:pStyle w:val="Akapitzlist"/>
        <w:numPr>
          <w:ilvl w:val="1"/>
          <w:numId w:val="3"/>
        </w:numPr>
        <w:spacing w:before="120" w:after="120"/>
        <w:rPr>
          <w:color w:val="000000" w:themeColor="text1"/>
        </w:rPr>
      </w:pPr>
      <w:r>
        <w:rPr>
          <w:color w:val="000000" w:themeColor="text1"/>
        </w:rPr>
        <w:t xml:space="preserve">lata </w:t>
      </w:r>
      <w:r w:rsidRPr="00906A58">
        <w:rPr>
          <w:color w:val="000000" w:themeColor="text1"/>
        </w:rPr>
        <w:t>2031–2033</w:t>
      </w:r>
      <w:r>
        <w:rPr>
          <w:color w:val="000000" w:themeColor="text1"/>
        </w:rPr>
        <w:t>:</w:t>
      </w:r>
      <w:r w:rsidRPr="00906A58">
        <w:rPr>
          <w:color w:val="000000" w:themeColor="text1"/>
        </w:rPr>
        <w:t xml:space="preserve"> </w:t>
      </w:r>
      <w:r>
        <w:rPr>
          <w:color w:val="000000" w:themeColor="text1"/>
        </w:rPr>
        <w:t>zapotrzebowanie na węgiel kamienny obniża się do 12,0</w:t>
      </w:r>
      <w:r w:rsidR="000B4191">
        <w:rPr>
          <w:color w:val="000000" w:themeColor="text1"/>
        </w:rPr>
        <w:t> </w:t>
      </w:r>
      <w:r>
        <w:rPr>
          <w:color w:val="000000" w:themeColor="text1"/>
        </w:rPr>
        <w:t>mln</w:t>
      </w:r>
      <w:r w:rsidR="000B4191">
        <w:rPr>
          <w:color w:val="000000" w:themeColor="text1"/>
        </w:rPr>
        <w:t> </w:t>
      </w:r>
      <w:r>
        <w:rPr>
          <w:color w:val="000000" w:themeColor="text1"/>
        </w:rPr>
        <w:t>Mg; r</w:t>
      </w:r>
      <w:r w:rsidRPr="00906A58">
        <w:rPr>
          <w:color w:val="000000" w:themeColor="text1"/>
        </w:rPr>
        <w:t>óżnice pomiędzy scenariuszami są dużo mniejsze i znajdują się średnio na poziomie 1,2%;</w:t>
      </w:r>
    </w:p>
    <w:p w:rsidR="00504621" w:rsidRDefault="00504621" w:rsidP="00504621">
      <w:pPr>
        <w:pStyle w:val="Akapitzlist"/>
        <w:numPr>
          <w:ilvl w:val="1"/>
          <w:numId w:val="3"/>
        </w:numPr>
        <w:spacing w:before="120" w:after="120"/>
        <w:rPr>
          <w:color w:val="000000" w:themeColor="text1"/>
        </w:rPr>
      </w:pPr>
      <w:r w:rsidRPr="00906A58">
        <w:rPr>
          <w:color w:val="000000" w:themeColor="text1"/>
        </w:rPr>
        <w:t>2034 r.</w:t>
      </w:r>
      <w:r>
        <w:rPr>
          <w:color w:val="000000" w:themeColor="text1"/>
        </w:rPr>
        <w:t>:</w:t>
      </w:r>
      <w:r w:rsidRPr="00906A58">
        <w:rPr>
          <w:color w:val="000000" w:themeColor="text1"/>
        </w:rPr>
        <w:t xml:space="preserve"> zapotrzebowanie na węgiel kamienny jest identyczne w obu analizowanych scenariuszach i wynosi 11,8 mln Mg;</w:t>
      </w:r>
    </w:p>
    <w:p w:rsidR="004457F4" w:rsidRPr="006B3063" w:rsidRDefault="006B3063" w:rsidP="006B3063">
      <w:pPr>
        <w:pStyle w:val="Akapitzlist"/>
        <w:numPr>
          <w:ilvl w:val="1"/>
          <w:numId w:val="3"/>
        </w:numPr>
        <w:spacing w:before="120" w:after="120"/>
        <w:rPr>
          <w:color w:val="000000" w:themeColor="text1"/>
        </w:rPr>
      </w:pPr>
      <w:r w:rsidRPr="00906A58">
        <w:rPr>
          <w:color w:val="000000" w:themeColor="text1"/>
        </w:rPr>
        <w:t xml:space="preserve">lata 2035–2040: zapotrzebowanie na węgiel kamienny obniża się do </w:t>
      </w:r>
      <w:r>
        <w:rPr>
          <w:color w:val="000000" w:themeColor="text1"/>
        </w:rPr>
        <w:t>4</w:t>
      </w:r>
      <w:r w:rsidRPr="00906A58">
        <w:rPr>
          <w:color w:val="000000" w:themeColor="text1"/>
        </w:rPr>
        <w:t>,</w:t>
      </w:r>
      <w:r w:rsidR="0002211E">
        <w:rPr>
          <w:color w:val="000000" w:themeColor="text1"/>
        </w:rPr>
        <w:t>5</w:t>
      </w:r>
      <w:r w:rsidRPr="00906A58">
        <w:rPr>
          <w:color w:val="000000" w:themeColor="text1"/>
        </w:rPr>
        <w:t xml:space="preserve"> mln Mg </w:t>
      </w:r>
      <w:r w:rsidR="009442D2">
        <w:rPr>
          <w:color w:val="000000" w:themeColor="text1"/>
        </w:rPr>
        <w:t xml:space="preserve">w 2040 roku </w:t>
      </w:r>
      <w:r w:rsidRPr="00906A58">
        <w:rPr>
          <w:color w:val="000000" w:themeColor="text1"/>
        </w:rPr>
        <w:t xml:space="preserve">w scenariuszu RM </w:t>
      </w:r>
      <w:r>
        <w:rPr>
          <w:color w:val="000000" w:themeColor="text1"/>
        </w:rPr>
        <w:t xml:space="preserve">jest </w:t>
      </w:r>
      <w:r w:rsidRPr="00906A58">
        <w:rPr>
          <w:color w:val="000000" w:themeColor="text1"/>
        </w:rPr>
        <w:t xml:space="preserve">niższe o </w:t>
      </w:r>
      <w:r>
        <w:rPr>
          <w:color w:val="000000" w:themeColor="text1"/>
        </w:rPr>
        <w:t>7</w:t>
      </w:r>
      <w:r w:rsidRPr="00906A58">
        <w:rPr>
          <w:color w:val="000000" w:themeColor="text1"/>
        </w:rPr>
        <w:t>,6% w porównaniu do scenariusza REE.</w:t>
      </w:r>
    </w:p>
    <w:p w:rsidR="004457F4" w:rsidRPr="004457F4" w:rsidRDefault="004457F4" w:rsidP="004457F4">
      <w:pPr>
        <w:pStyle w:val="Akapitzlist"/>
        <w:numPr>
          <w:ilvl w:val="0"/>
          <w:numId w:val="3"/>
        </w:numPr>
        <w:rPr>
          <w:color w:val="000000" w:themeColor="text1"/>
        </w:rPr>
      </w:pPr>
      <w:r w:rsidRPr="004457F4">
        <w:rPr>
          <w:color w:val="000000" w:themeColor="text1"/>
        </w:rPr>
        <w:t>Wprowadzenie rynku mocy nie wpływa w znaczącym stopniu na odstawienia jednostek wytwórczych opalanych węglem brunatnym. W pierwszych dziesięciu latach analizy wolumen mocy osiągalnej w systemie jest taki sam w przypadku obu scenariuszy</w:t>
      </w:r>
      <w:r w:rsidR="0071315D">
        <w:rPr>
          <w:color w:val="000000" w:themeColor="text1"/>
        </w:rPr>
        <w:t>; z</w:t>
      </w:r>
      <w:r w:rsidRPr="004457F4">
        <w:rPr>
          <w:color w:val="000000" w:themeColor="text1"/>
        </w:rPr>
        <w:t xml:space="preserve">apotrzebowanie na węgiel brunatny zmniejsza się w analizowanym okresie niezależnie od rozważanego scenariusza. W tym przypadku również wyróżnia się okresy, dla których obserwowane są charakterystyczne różnice pomiędzy </w:t>
      </w:r>
      <w:r w:rsidR="00760210">
        <w:rPr>
          <w:color w:val="000000" w:themeColor="text1"/>
        </w:rPr>
        <w:t xml:space="preserve">wielkością </w:t>
      </w:r>
      <w:r w:rsidRPr="004457F4">
        <w:rPr>
          <w:color w:val="000000" w:themeColor="text1"/>
        </w:rPr>
        <w:t>zapotrzebowani</w:t>
      </w:r>
      <w:r w:rsidR="00760210">
        <w:rPr>
          <w:color w:val="000000" w:themeColor="text1"/>
        </w:rPr>
        <w:t xml:space="preserve">a </w:t>
      </w:r>
      <w:r w:rsidRPr="004457F4">
        <w:rPr>
          <w:color w:val="000000" w:themeColor="text1"/>
        </w:rPr>
        <w:t>w scenariuszu R</w:t>
      </w:r>
      <w:r w:rsidR="00757CDF">
        <w:rPr>
          <w:color w:val="000000" w:themeColor="text1"/>
        </w:rPr>
        <w:t>M</w:t>
      </w:r>
      <w:r w:rsidRPr="004457F4">
        <w:rPr>
          <w:color w:val="000000" w:themeColor="text1"/>
        </w:rPr>
        <w:t xml:space="preserve"> oraz scenariuszu R</w:t>
      </w:r>
      <w:r w:rsidR="00757CDF">
        <w:rPr>
          <w:color w:val="000000" w:themeColor="text1"/>
        </w:rPr>
        <w:t>EE</w:t>
      </w:r>
      <w:r w:rsidRPr="004457F4">
        <w:rPr>
          <w:color w:val="000000" w:themeColor="text1"/>
        </w:rPr>
        <w:t>:</w:t>
      </w:r>
    </w:p>
    <w:p w:rsidR="00597C3C" w:rsidRPr="00AE2951" w:rsidRDefault="00597C3C" w:rsidP="00597C3C">
      <w:pPr>
        <w:pStyle w:val="Akapitzlist"/>
        <w:numPr>
          <w:ilvl w:val="1"/>
          <w:numId w:val="3"/>
        </w:numPr>
        <w:spacing w:before="120" w:after="120"/>
      </w:pPr>
      <w:r w:rsidRPr="00AE2951">
        <w:lastRenderedPageBreak/>
        <w:t>lata 2021–2030: zapotrzebowanie na węgiel brunatny w obu analizowanych scenariuszach maleje z 59,4 mln Mg do 50,2 mln Mg;</w:t>
      </w:r>
    </w:p>
    <w:p w:rsidR="001B5FD9" w:rsidRDefault="001B5FD9" w:rsidP="00597C3C">
      <w:pPr>
        <w:pStyle w:val="Akapitzlist"/>
        <w:numPr>
          <w:ilvl w:val="1"/>
          <w:numId w:val="3"/>
        </w:numPr>
        <w:spacing w:before="120" w:after="120"/>
      </w:pPr>
      <w:r>
        <w:t xml:space="preserve">lata 2031–2032: </w:t>
      </w:r>
      <w:r w:rsidR="005B078B">
        <w:t>zapotrzebowanie na węgiel brunatny obniża się z 47,0 mln Mg do 31,1 mln Mg w scenariuszu RM; w tym okresie występują największe różnice pomiędzy scenariuszami – zapotrzebowanie na węgiel brunatny w scenariuszu RM jest wyższe od zapotrzebowania w scenariuszu REE o 12,38% oraz 18,20%;</w:t>
      </w:r>
    </w:p>
    <w:p w:rsidR="00597C3C" w:rsidRPr="00745645" w:rsidRDefault="00597C3C" w:rsidP="00597C3C">
      <w:pPr>
        <w:pStyle w:val="Akapitzlist"/>
        <w:numPr>
          <w:ilvl w:val="1"/>
          <w:numId w:val="3"/>
        </w:numPr>
        <w:spacing w:before="120" w:after="120"/>
      </w:pPr>
      <w:r w:rsidRPr="00745645">
        <w:t xml:space="preserve">lata 2033–2034: zapotrzebowanie na węgiel brunatny </w:t>
      </w:r>
      <w:r>
        <w:t>obniża się do 21,3 mln</w:t>
      </w:r>
      <w:r w:rsidRPr="00745645">
        <w:t xml:space="preserve"> Mg w scenariuszu RM i jest nieznacznie wyższe od zapotrzebowania w scenariuszu REE;</w:t>
      </w:r>
    </w:p>
    <w:p w:rsidR="00597C3C" w:rsidRPr="003E6AFD" w:rsidRDefault="00597C3C" w:rsidP="00597C3C">
      <w:pPr>
        <w:pStyle w:val="Akapitzlist"/>
        <w:numPr>
          <w:ilvl w:val="1"/>
          <w:numId w:val="3"/>
        </w:numPr>
        <w:spacing w:before="120" w:after="120"/>
      </w:pPr>
      <w:r w:rsidRPr="00745645">
        <w:t>lata 203</w:t>
      </w:r>
      <w:r>
        <w:t>5</w:t>
      </w:r>
      <w:r w:rsidRPr="00745645">
        <w:t>–203</w:t>
      </w:r>
      <w:r>
        <w:t>6</w:t>
      </w:r>
      <w:r w:rsidRPr="00745645">
        <w:t>: zapotrzebowanie na węgiel brunatny obniża się z</w:t>
      </w:r>
      <w:r>
        <w:t> </w:t>
      </w:r>
      <w:r w:rsidRPr="00745645">
        <w:t>18,0</w:t>
      </w:r>
      <w:r>
        <w:t> </w:t>
      </w:r>
      <w:r w:rsidRPr="003E6AFD">
        <w:t>mln Mg do 13,</w:t>
      </w:r>
      <w:r>
        <w:t>6</w:t>
      </w:r>
      <w:r w:rsidRPr="003E6AFD">
        <w:t xml:space="preserve"> mln Mg w obu analizowanych scenariuszach;</w:t>
      </w:r>
    </w:p>
    <w:p w:rsidR="004457F4" w:rsidRPr="00597C3C" w:rsidRDefault="00597C3C" w:rsidP="00597C3C">
      <w:pPr>
        <w:pStyle w:val="Akapitzlist"/>
        <w:numPr>
          <w:ilvl w:val="1"/>
          <w:numId w:val="3"/>
        </w:numPr>
        <w:spacing w:before="120" w:after="120"/>
      </w:pPr>
      <w:r w:rsidRPr="003E6AFD">
        <w:t xml:space="preserve">lata 2037–2040: zapotrzebowanie na węgiel brunatny </w:t>
      </w:r>
      <w:r>
        <w:t>zmniejsza się i w 2040 roku osiąga poziom 4,1 mln Mg w scenariuszu RM; jest wówczas o 14,3%</w:t>
      </w:r>
      <w:r w:rsidRPr="003E6AFD">
        <w:t xml:space="preserve"> niższe niż w przypadku scenariusza REE</w:t>
      </w:r>
      <w:r w:rsidR="004457F4" w:rsidRPr="00597C3C">
        <w:rPr>
          <w:color w:val="000000" w:themeColor="text1"/>
        </w:rPr>
        <w:t>.</w:t>
      </w:r>
    </w:p>
    <w:p w:rsidR="004457F4" w:rsidRDefault="004457F4" w:rsidP="004457F4">
      <w:pPr>
        <w:pStyle w:val="Akapitzlist"/>
        <w:numPr>
          <w:ilvl w:val="0"/>
          <w:numId w:val="3"/>
        </w:numPr>
        <w:rPr>
          <w:color w:val="000000" w:themeColor="text1"/>
        </w:rPr>
      </w:pPr>
      <w:r>
        <w:rPr>
          <w:color w:val="000000" w:themeColor="text1"/>
        </w:rPr>
        <w:t xml:space="preserve">Funkcjonowanie </w:t>
      </w:r>
      <w:r w:rsidRPr="004457F4">
        <w:rPr>
          <w:color w:val="000000" w:themeColor="text1"/>
        </w:rPr>
        <w:t xml:space="preserve">dwutowarowego rynku energii sprawia, że w systemie są zapewnione rezerwy mocy osiągalnej, a w konsekwencji następuje poprawa bezpieczeństwa energetycznego. Wdrożenie mechanizmu wynagradzania zdolności wytwórczych zapewnia </w:t>
      </w:r>
      <w:r w:rsidR="005508A2">
        <w:rPr>
          <w:color w:val="000000" w:themeColor="text1"/>
        </w:rPr>
        <w:t xml:space="preserve">zatem </w:t>
      </w:r>
      <w:r w:rsidRPr="004457F4">
        <w:rPr>
          <w:color w:val="000000" w:themeColor="text1"/>
        </w:rPr>
        <w:t>stabilność</w:t>
      </w:r>
      <w:r w:rsidR="00DE0FD8">
        <w:rPr>
          <w:color w:val="000000" w:themeColor="text1"/>
        </w:rPr>
        <w:t xml:space="preserve"> dostaw</w:t>
      </w:r>
      <w:r w:rsidRPr="004457F4">
        <w:rPr>
          <w:color w:val="000000" w:themeColor="text1"/>
        </w:rPr>
        <w:t xml:space="preserve"> podczas procesu dekarbonizacji krajowego systemu </w:t>
      </w:r>
      <w:r w:rsidR="0094397D">
        <w:rPr>
          <w:color w:val="000000" w:themeColor="text1"/>
        </w:rPr>
        <w:t>wytwarzania</w:t>
      </w:r>
      <w:r w:rsidRPr="004457F4">
        <w:rPr>
          <w:color w:val="000000" w:themeColor="text1"/>
        </w:rPr>
        <w:t>.</w:t>
      </w:r>
    </w:p>
    <w:p w:rsidR="002F4269" w:rsidRPr="004457F4" w:rsidRDefault="002F4269">
      <w:pPr>
        <w:pStyle w:val="Akapitzlist"/>
        <w:numPr>
          <w:ilvl w:val="0"/>
          <w:numId w:val="3"/>
        </w:numPr>
        <w:rPr>
          <w:color w:val="000000" w:themeColor="text1"/>
        </w:rPr>
      </w:pPr>
      <w:r>
        <w:rPr>
          <w:color w:val="000000" w:themeColor="text1"/>
        </w:rPr>
        <w:t xml:space="preserve">Implementacja </w:t>
      </w:r>
      <w:r w:rsidRPr="002F4269">
        <w:rPr>
          <w:color w:val="000000" w:themeColor="text1"/>
        </w:rPr>
        <w:t xml:space="preserve">rynku mocy oznacza również niższe ceny energii elektrycznej w każdym analizowanym roku. </w:t>
      </w:r>
      <w:r w:rsidR="00463A56" w:rsidRPr="00D63935">
        <w:t xml:space="preserve">Ceny energii elektrycznej w scenariuszu REE kształtują się na poziomie </w:t>
      </w:r>
      <w:r w:rsidR="00463A56" w:rsidRPr="001B316B">
        <w:t>od 265,13 do 359,58 zł/MWh</w:t>
      </w:r>
      <w:r w:rsidR="00463A56" w:rsidRPr="00D63935">
        <w:t>. Natomiast ceny energii elektrycznej w</w:t>
      </w:r>
      <w:r w:rsidR="00A56446">
        <w:t> </w:t>
      </w:r>
      <w:r w:rsidR="00463A56" w:rsidRPr="00D63935">
        <w:t xml:space="preserve">scenariuszu RM </w:t>
      </w:r>
      <w:r w:rsidR="00463A56">
        <w:t>znajdują się na poziomie</w:t>
      </w:r>
      <w:r w:rsidR="00463A56" w:rsidRPr="00D63935">
        <w:t xml:space="preserve"> od </w:t>
      </w:r>
      <w:r w:rsidR="00463A56" w:rsidRPr="001B316B">
        <w:t>203,12 do 323,04 zł/</w:t>
      </w:r>
      <w:r w:rsidR="00463A56">
        <w:t>MWh</w:t>
      </w:r>
      <w:r w:rsidR="00463A56" w:rsidRPr="001E2974">
        <w:t>. Chociaż</w:t>
      </w:r>
      <w:r w:rsidR="00463A56" w:rsidRPr="00D63935">
        <w:t xml:space="preserve"> cena energii elektrycznej w scenariuszu RM jest niższ</w:t>
      </w:r>
      <w:r w:rsidR="00463A56" w:rsidRPr="003B78EE">
        <w:t xml:space="preserve">a od </w:t>
      </w:r>
      <w:r w:rsidR="00463A56" w:rsidRPr="0046679D">
        <w:t>8,15% do 35,14% w</w:t>
      </w:r>
      <w:r w:rsidR="00A56446">
        <w:t> </w:t>
      </w:r>
      <w:r w:rsidR="00463A56" w:rsidRPr="0046679D">
        <w:t xml:space="preserve">porównaniu do cen uzyskanych w scenariuszu REE, nie </w:t>
      </w:r>
      <w:r w:rsidR="00463A56">
        <w:t xml:space="preserve">musi oznaczać </w:t>
      </w:r>
      <w:r w:rsidR="00463A56" w:rsidRPr="00D63935">
        <w:t xml:space="preserve">niższych </w:t>
      </w:r>
      <w:r w:rsidR="00463A56">
        <w:t>całkowitych kosztów zakupu</w:t>
      </w:r>
      <w:r w:rsidR="00463A56" w:rsidRPr="00D63935">
        <w:t xml:space="preserve"> energii elektrycznej dla konsumenta, bowiem koszty funkcjonowania rynku mocy (opłata mocowa) są przenoszone na </w:t>
      </w:r>
      <w:r w:rsidR="00463A56">
        <w:t>odbiorców końcowych</w:t>
      </w:r>
      <w:r>
        <w:rPr>
          <w:color w:val="000000" w:themeColor="text1"/>
        </w:rPr>
        <w:t>.</w:t>
      </w:r>
    </w:p>
    <w:p w:rsidR="007B2D8E" w:rsidRDefault="00B100F3" w:rsidP="00A71F65">
      <w:r>
        <w:t>Badania przeprowadzone w niniejszej pracy są pierwszymi badaniami dotyczącymi ilościowej oceny wpływu wdrożenia rynku mocy na zapotrzebowanie na stałe paliwa kopalne do produkcji energii elektrycznej. Ponieważ rynek mocy został wprowadzony w Polsce stosunkowo niedawno, wyniki analiz oraz wnioski sformułowane na ich podstawie stanowią istotny wkład w krajową dyskusję dotyczącą zasadności i konsekwencji wdrażania mechanizmów wynagradzania zdolności wytwórczych.</w:t>
      </w:r>
      <w:bookmarkEnd w:id="1"/>
      <w:bookmarkEnd w:id="2"/>
      <w:bookmarkEnd w:id="3"/>
      <w:bookmarkEnd w:id="4"/>
    </w:p>
    <w:p w:rsidR="00DF6BAA" w:rsidRDefault="00DF6BAA" w:rsidP="00A71F65"/>
    <w:p w:rsidR="00DF6BAA" w:rsidRDefault="00DF6BAA" w:rsidP="00A71F65"/>
    <w:p w:rsidR="00DF6BAA" w:rsidRDefault="00DF6BAA" w:rsidP="00A71F65"/>
    <w:p w:rsidR="00DF6BAA" w:rsidRDefault="00DF6BAA" w:rsidP="00DF6BAA">
      <w:pPr>
        <w:pStyle w:val="Nagwek1"/>
        <w:jc w:val="center"/>
        <w:rPr>
          <w:lang w:val="en-US"/>
        </w:rPr>
      </w:pPr>
      <w:r w:rsidRPr="00FE7594">
        <w:rPr>
          <w:lang w:val="en-US"/>
        </w:rPr>
        <w:lastRenderedPageBreak/>
        <w:t xml:space="preserve">Assessment of domestic demand for solid fossil fuels by 2040 </w:t>
      </w:r>
      <w:r>
        <w:rPr>
          <w:lang w:val="en-US"/>
        </w:rPr>
        <w:br/>
      </w:r>
      <w:r w:rsidRPr="00FE7594">
        <w:rPr>
          <w:lang w:val="en-US"/>
        </w:rPr>
        <w:t>as a result of the capacity market implementation</w:t>
      </w:r>
    </w:p>
    <w:p w:rsidR="00DF6BAA" w:rsidRPr="005552C3" w:rsidRDefault="00DF6BAA" w:rsidP="00DF6BAA">
      <w:pPr>
        <w:pStyle w:val="Nagwek1"/>
        <w:rPr>
          <w:lang w:val="en-US"/>
        </w:rPr>
      </w:pPr>
      <w:r w:rsidRPr="005552C3">
        <w:rPr>
          <w:lang w:val="en-US"/>
        </w:rPr>
        <w:t>Abstract</w:t>
      </w:r>
    </w:p>
    <w:p w:rsidR="00DF6BAA" w:rsidRPr="005552C3" w:rsidRDefault="00DF6BAA" w:rsidP="00DF6BAA">
      <w:pPr>
        <w:rPr>
          <w:lang w:val="en-US"/>
        </w:rPr>
      </w:pPr>
      <w:r w:rsidRPr="005552C3">
        <w:rPr>
          <w:lang w:val="en-US"/>
        </w:rPr>
        <w:t xml:space="preserve">The capacity market is a relatively new mechanism in Poland, and its impact on the demand for hard coal and lignite has not been studied so far. The analysis of changes in coal consumption in the power generation </w:t>
      </w:r>
      <w:r>
        <w:rPr>
          <w:lang w:val="en-US"/>
        </w:rPr>
        <w:t>system</w:t>
      </w:r>
      <w:r w:rsidRPr="005552C3">
        <w:rPr>
          <w:lang w:val="en-US"/>
        </w:rPr>
        <w:t xml:space="preserve"> in the future is particularly crucial </w:t>
      </w:r>
      <w:r>
        <w:rPr>
          <w:lang w:val="en-US"/>
        </w:rPr>
        <w:t>as</w:t>
      </w:r>
      <w:r w:rsidRPr="005552C3">
        <w:rPr>
          <w:lang w:val="en-US"/>
        </w:rPr>
        <w:t xml:space="preserve"> solid fossil fuels still constitute the dominant role in electricity production, and the implementation of the capacity market has caused a diametrical change in the operating of the energy market.</w:t>
      </w:r>
    </w:p>
    <w:p w:rsidR="00DF6BAA" w:rsidRPr="005552C3" w:rsidRDefault="00DF6BAA" w:rsidP="00DF6BAA">
      <w:pPr>
        <w:rPr>
          <w:lang w:val="en-US"/>
        </w:rPr>
      </w:pPr>
      <w:r w:rsidRPr="005552C3">
        <w:rPr>
          <w:lang w:val="en-US"/>
        </w:rPr>
        <w:t xml:space="preserve">The main </w:t>
      </w:r>
      <w:r>
        <w:rPr>
          <w:lang w:val="en-US"/>
        </w:rPr>
        <w:t>purpose</w:t>
      </w:r>
      <w:r w:rsidRPr="005552C3">
        <w:rPr>
          <w:lang w:val="en-US"/>
        </w:rPr>
        <w:t xml:space="preserve"> of the doctoral dissertation was formulated as follows: Quantitative assessment of the impact of the capacity market implementation on </w:t>
      </w:r>
      <w:r>
        <w:rPr>
          <w:lang w:val="en-US"/>
        </w:rPr>
        <w:t xml:space="preserve">the </w:t>
      </w:r>
      <w:r w:rsidRPr="005552C3">
        <w:rPr>
          <w:lang w:val="en-US"/>
        </w:rPr>
        <w:t xml:space="preserve">demand for solid fossil fuels for electricity production by 2040. In the context of the assumed goal, the following research hypothesis was developed: </w:t>
      </w:r>
      <w:r>
        <w:rPr>
          <w:lang w:val="en-US"/>
        </w:rPr>
        <w:t>The d</w:t>
      </w:r>
      <w:r w:rsidRPr="005552C3">
        <w:rPr>
          <w:lang w:val="en-US"/>
        </w:rPr>
        <w:t>emand for solid fossil fuels will decrease by 2040 regardless of the structure of the electricity market; however, as a result of the introduction of the capacity market, the dynamics of these changes will decrease.</w:t>
      </w:r>
    </w:p>
    <w:p w:rsidR="00DF6BAA" w:rsidRPr="005552C3" w:rsidRDefault="00DF6BAA" w:rsidP="00DF6BAA">
      <w:pPr>
        <w:rPr>
          <w:lang w:val="en-US"/>
        </w:rPr>
      </w:pPr>
      <w:r w:rsidRPr="005552C3">
        <w:rPr>
          <w:lang w:val="en-US"/>
        </w:rPr>
        <w:t xml:space="preserve">Solving the research problem required the employment of appropriate methodology. The method used to study fuel and energy systems is system analysis, whose tools for quantitative analysis assessment are mathematical models. A technical and economic model of the Polish power generation system was developed, formulated as a linear programming problem, which was then implemented in the MATLAB. In order to analyze the impact of the capacity market implementation on </w:t>
      </w:r>
      <w:r>
        <w:rPr>
          <w:lang w:val="en-US"/>
        </w:rPr>
        <w:t xml:space="preserve">the </w:t>
      </w:r>
      <w:r w:rsidRPr="005552C3">
        <w:rPr>
          <w:lang w:val="en-US"/>
        </w:rPr>
        <w:t>demand for solid fossil fuels used for electricity production, two theoretical research scenarios have been developed: (</w:t>
      </w:r>
      <w:proofErr w:type="spellStart"/>
      <w:r w:rsidRPr="005552C3">
        <w:rPr>
          <w:lang w:val="en-US"/>
        </w:rPr>
        <w:t>i</w:t>
      </w:r>
      <w:proofErr w:type="spellEnd"/>
      <w:r w:rsidRPr="005552C3">
        <w:rPr>
          <w:lang w:val="en-US"/>
        </w:rPr>
        <w:t xml:space="preserve">) REE scenario which reflects the operating of the energy-only market and (ii) RM scenario which mimics the functioning of the dual-commodity market, in which the capacity market operates parallel to the electricity market. The impact of the capacity market implementation on </w:t>
      </w:r>
      <w:r>
        <w:rPr>
          <w:lang w:val="en-US"/>
        </w:rPr>
        <w:t xml:space="preserve">the </w:t>
      </w:r>
      <w:r w:rsidRPr="005552C3">
        <w:rPr>
          <w:lang w:val="en-US"/>
        </w:rPr>
        <w:t xml:space="preserve">demand for solid fossil fuels for electricity production was </w:t>
      </w:r>
      <w:r>
        <w:rPr>
          <w:lang w:val="en-US"/>
        </w:rPr>
        <w:t>studied</w:t>
      </w:r>
      <w:r w:rsidRPr="005552C3">
        <w:rPr>
          <w:lang w:val="en-US"/>
        </w:rPr>
        <w:t xml:space="preserve"> based on (</w:t>
      </w:r>
      <w:proofErr w:type="spellStart"/>
      <w:r w:rsidRPr="005552C3">
        <w:rPr>
          <w:lang w:val="en-US"/>
        </w:rPr>
        <w:t>i</w:t>
      </w:r>
      <w:proofErr w:type="spellEnd"/>
      <w:r w:rsidRPr="005552C3">
        <w:rPr>
          <w:lang w:val="en-US"/>
        </w:rPr>
        <w:t xml:space="preserve">) the share of hard coal and lignite in the structure of available capacity in the power generation system, (ii) the percentage of solid fossil fuels in the structure of electricity production, and (iii) the volume of demand for solid fossil fuels for electricity production for the developed research scenarios. Moreover, electricity prices were </w:t>
      </w:r>
      <w:r>
        <w:rPr>
          <w:lang w:val="en-US"/>
        </w:rPr>
        <w:t xml:space="preserve">also </w:t>
      </w:r>
      <w:r w:rsidRPr="005552C3">
        <w:rPr>
          <w:lang w:val="en-US"/>
        </w:rPr>
        <w:t>compared depending on the structure of the market.</w:t>
      </w:r>
    </w:p>
    <w:p w:rsidR="00DF6BAA" w:rsidRPr="005552C3" w:rsidRDefault="00DF6BAA" w:rsidP="00DF6BAA">
      <w:pPr>
        <w:rPr>
          <w:lang w:val="en-US"/>
        </w:rPr>
      </w:pPr>
      <w:r>
        <w:rPr>
          <w:lang w:val="en-US"/>
        </w:rPr>
        <w:t>The a</w:t>
      </w:r>
      <w:r w:rsidRPr="005552C3">
        <w:rPr>
          <w:lang w:val="en-US"/>
        </w:rPr>
        <w:t>nalysis of the results led to the formulation of conclusions, among which the most important are:</w:t>
      </w:r>
    </w:p>
    <w:p w:rsidR="00DF6BAA" w:rsidRPr="005552C3" w:rsidRDefault="00DF6BAA" w:rsidP="00DF6BAA">
      <w:pPr>
        <w:pStyle w:val="Akapitzlist"/>
        <w:numPr>
          <w:ilvl w:val="0"/>
          <w:numId w:val="3"/>
        </w:numPr>
        <w:rPr>
          <w:color w:val="000000" w:themeColor="text1"/>
          <w:lang w:val="en-US"/>
        </w:rPr>
      </w:pPr>
      <w:r w:rsidRPr="005552C3">
        <w:rPr>
          <w:color w:val="000000" w:themeColor="text1"/>
          <w:lang w:val="en-US"/>
        </w:rPr>
        <w:t xml:space="preserve">The </w:t>
      </w:r>
      <w:proofErr w:type="spellStart"/>
      <w:r w:rsidRPr="005552C3">
        <w:rPr>
          <w:color w:val="000000" w:themeColor="text1"/>
          <w:lang w:val="en-US"/>
        </w:rPr>
        <w:t>decarbonization</w:t>
      </w:r>
      <w:proofErr w:type="spellEnd"/>
      <w:r w:rsidRPr="005552C3">
        <w:rPr>
          <w:color w:val="000000" w:themeColor="text1"/>
          <w:lang w:val="en-US"/>
        </w:rPr>
        <w:t xml:space="preserve"> of the Polish power generation system is inevitable </w:t>
      </w:r>
      <w:r>
        <w:rPr>
          <w:color w:val="000000" w:themeColor="text1"/>
          <w:lang w:val="en-US"/>
        </w:rPr>
        <w:t xml:space="preserve">by </w:t>
      </w:r>
      <w:r w:rsidRPr="005552C3">
        <w:rPr>
          <w:color w:val="000000" w:themeColor="text1"/>
          <w:lang w:val="en-US"/>
        </w:rPr>
        <w:t xml:space="preserve">2040. Hard coal demand in the analyzed period decreases by 86.9% under the REE scenario and by 87.9% under the RM scenario. In the case of lignite, demand is reduced by 91.8% under the REE scenario and by 93.0% under the RM scenario. Research results indicate that the introduction of the capacity market </w:t>
      </w:r>
      <w:r>
        <w:rPr>
          <w:color w:val="000000" w:themeColor="text1"/>
          <w:lang w:val="en-US"/>
        </w:rPr>
        <w:t>causes</w:t>
      </w:r>
      <w:r w:rsidRPr="005552C3">
        <w:rPr>
          <w:color w:val="000000" w:themeColor="text1"/>
          <w:lang w:val="en-US"/>
        </w:rPr>
        <w:t xml:space="preserve"> a delay in the </w:t>
      </w:r>
      <w:proofErr w:type="spellStart"/>
      <w:r w:rsidRPr="005552C3">
        <w:rPr>
          <w:color w:val="000000" w:themeColor="text1"/>
          <w:lang w:val="en-US"/>
        </w:rPr>
        <w:t>decarbonization</w:t>
      </w:r>
      <w:proofErr w:type="spellEnd"/>
      <w:r w:rsidRPr="005552C3">
        <w:rPr>
          <w:color w:val="000000" w:themeColor="text1"/>
          <w:lang w:val="en-US"/>
        </w:rPr>
        <w:t xml:space="preserve"> process of the energy sector. A slowing down of the withdrawal process of hard coal-fired units is observed, especially in the years 2021–2030 and in the years 2031–2032 in the case of lignite-fired units.</w:t>
      </w:r>
    </w:p>
    <w:p w:rsidR="00DF6BAA" w:rsidRPr="005552C3" w:rsidRDefault="00DF6BAA" w:rsidP="00DF6BAA">
      <w:pPr>
        <w:pStyle w:val="Akapitzlist"/>
        <w:numPr>
          <w:ilvl w:val="0"/>
          <w:numId w:val="3"/>
        </w:numPr>
        <w:rPr>
          <w:color w:val="000000" w:themeColor="text1"/>
          <w:lang w:val="en-US"/>
        </w:rPr>
      </w:pPr>
      <w:r>
        <w:rPr>
          <w:color w:val="000000" w:themeColor="text1"/>
          <w:lang w:val="en-US"/>
        </w:rPr>
        <w:lastRenderedPageBreak/>
        <w:t>The d</w:t>
      </w:r>
      <w:r w:rsidRPr="005552C3">
        <w:rPr>
          <w:color w:val="000000" w:themeColor="text1"/>
          <w:lang w:val="en-US"/>
        </w:rPr>
        <w:t>emand for hard coal from the power generation system is decreasing regardless of the research scenario. However, the dynamics of these changes is different. There are seven periods for which there are specific differences between the demand for hard coal in the analyzed scenarios:</w:t>
      </w:r>
    </w:p>
    <w:p w:rsidR="00DF6BAA" w:rsidRPr="005552C3" w:rsidRDefault="00DF6BAA" w:rsidP="00DF6BAA">
      <w:pPr>
        <w:pStyle w:val="Akapitzlist"/>
        <w:numPr>
          <w:ilvl w:val="1"/>
          <w:numId w:val="3"/>
        </w:numPr>
        <w:rPr>
          <w:color w:val="000000" w:themeColor="text1"/>
          <w:lang w:val="en-US"/>
        </w:rPr>
      </w:pPr>
      <w:r w:rsidRPr="005552C3">
        <w:rPr>
          <w:color w:val="000000" w:themeColor="text1"/>
          <w:lang w:val="en-US"/>
        </w:rPr>
        <w:t>2021–2024: the demand for hard coal under the RM scenario decreases from 37.2 million Mg to 32.3 million Mg and is higher than the demand under the REE scenario by an average of 9.7%;</w:t>
      </w:r>
    </w:p>
    <w:p w:rsidR="00DF6BAA" w:rsidRPr="005552C3" w:rsidRDefault="00DF6BAA" w:rsidP="00DF6BAA">
      <w:pPr>
        <w:pStyle w:val="Akapitzlist"/>
        <w:numPr>
          <w:ilvl w:val="1"/>
          <w:numId w:val="3"/>
        </w:numPr>
        <w:rPr>
          <w:color w:val="000000" w:themeColor="text1"/>
          <w:lang w:val="en-US"/>
        </w:rPr>
      </w:pPr>
      <w:r w:rsidRPr="005552C3">
        <w:rPr>
          <w:color w:val="000000" w:themeColor="text1"/>
          <w:lang w:val="en-US"/>
        </w:rPr>
        <w:t>2035–2026: the demand for hard coal under the RM scenario is 31.4 million Mg and 31.3 million Mg and is higher than the demand under the REE scenario by 7.8% and by 10.2%;</w:t>
      </w:r>
    </w:p>
    <w:p w:rsidR="00DF6BAA" w:rsidRPr="005552C3" w:rsidRDefault="00DF6BAA" w:rsidP="00DF6BAA">
      <w:pPr>
        <w:pStyle w:val="Akapitzlist"/>
        <w:numPr>
          <w:ilvl w:val="1"/>
          <w:numId w:val="3"/>
        </w:numPr>
        <w:spacing w:before="120" w:after="120"/>
        <w:rPr>
          <w:color w:val="000000" w:themeColor="text1"/>
          <w:lang w:val="en-US"/>
        </w:rPr>
      </w:pPr>
      <w:r w:rsidRPr="005552C3">
        <w:rPr>
          <w:color w:val="000000" w:themeColor="text1"/>
          <w:lang w:val="en-US"/>
        </w:rPr>
        <w:t>2027–2029: the demand for hard coal under the RM scenario decreases to 21.9 million Mg. However, the differences between the scenarios increase to 19.2% in 2029;</w:t>
      </w:r>
    </w:p>
    <w:p w:rsidR="00DF6BAA" w:rsidRPr="005552C3" w:rsidRDefault="00DF6BAA" w:rsidP="00DF6BAA">
      <w:pPr>
        <w:pStyle w:val="Akapitzlist"/>
        <w:numPr>
          <w:ilvl w:val="1"/>
          <w:numId w:val="3"/>
        </w:numPr>
        <w:spacing w:before="120" w:after="120"/>
        <w:rPr>
          <w:color w:val="000000" w:themeColor="text1"/>
          <w:lang w:val="en-US"/>
        </w:rPr>
      </w:pPr>
      <w:r w:rsidRPr="005552C3">
        <w:rPr>
          <w:color w:val="000000" w:themeColor="text1"/>
          <w:lang w:val="en-US"/>
        </w:rPr>
        <w:t>2030: the demand for hard coal under the RM scenario is significantly reduced to 17.9 million Mg, which is 13.7% more than under the RM scenario;</w:t>
      </w:r>
    </w:p>
    <w:p w:rsidR="00DF6BAA" w:rsidRPr="005552C3" w:rsidRDefault="00DF6BAA" w:rsidP="00DF6BAA">
      <w:pPr>
        <w:pStyle w:val="Akapitzlist"/>
        <w:numPr>
          <w:ilvl w:val="1"/>
          <w:numId w:val="3"/>
        </w:numPr>
        <w:spacing w:before="120" w:after="120"/>
        <w:rPr>
          <w:color w:val="000000" w:themeColor="text1"/>
          <w:lang w:val="en-US"/>
        </w:rPr>
      </w:pPr>
      <w:r w:rsidRPr="005552C3">
        <w:rPr>
          <w:color w:val="000000" w:themeColor="text1"/>
          <w:lang w:val="en-US"/>
        </w:rPr>
        <w:t>2031–2033: the demand for hard coal is reduced to 12.0 million Mg; the differences between the scenarios are much lower and are on average at 1.2%;</w:t>
      </w:r>
    </w:p>
    <w:p w:rsidR="00DF6BAA" w:rsidRPr="005552C3" w:rsidRDefault="00DF6BAA" w:rsidP="00DF6BAA">
      <w:pPr>
        <w:pStyle w:val="Akapitzlist"/>
        <w:numPr>
          <w:ilvl w:val="1"/>
          <w:numId w:val="3"/>
        </w:numPr>
        <w:spacing w:before="120" w:after="120"/>
        <w:rPr>
          <w:color w:val="000000" w:themeColor="text1"/>
          <w:lang w:val="en-US"/>
        </w:rPr>
      </w:pPr>
      <w:r w:rsidRPr="005552C3">
        <w:rPr>
          <w:color w:val="000000" w:themeColor="text1"/>
          <w:lang w:val="en-US"/>
        </w:rPr>
        <w:t xml:space="preserve"> 2034: the demand for hard coal is the same under both analyzed scenarios and amounts to 11.8 million Mg;</w:t>
      </w:r>
    </w:p>
    <w:p w:rsidR="00DF6BAA" w:rsidRPr="005552C3" w:rsidRDefault="00DF6BAA" w:rsidP="00DF6BAA">
      <w:pPr>
        <w:pStyle w:val="Akapitzlist"/>
        <w:numPr>
          <w:ilvl w:val="1"/>
          <w:numId w:val="3"/>
        </w:numPr>
        <w:spacing w:before="120" w:after="120"/>
        <w:rPr>
          <w:color w:val="000000" w:themeColor="text1"/>
          <w:lang w:val="en-US"/>
        </w:rPr>
      </w:pPr>
      <w:r w:rsidRPr="005552C3">
        <w:rPr>
          <w:color w:val="000000" w:themeColor="text1"/>
          <w:lang w:val="en-US"/>
        </w:rPr>
        <w:t xml:space="preserve"> 2035–2040: the demand for hard coal demand is reduced to 4.5 million Mg under the RM scenario in 2040; it is lower by 7.6% compared to the REE scenario.</w:t>
      </w:r>
    </w:p>
    <w:p w:rsidR="00DF6BAA" w:rsidRPr="005552C3" w:rsidRDefault="00DF6BAA" w:rsidP="00DF6BAA">
      <w:pPr>
        <w:pStyle w:val="Akapitzlist"/>
        <w:numPr>
          <w:ilvl w:val="0"/>
          <w:numId w:val="3"/>
        </w:numPr>
        <w:rPr>
          <w:color w:val="000000" w:themeColor="text1"/>
          <w:lang w:val="en-US"/>
        </w:rPr>
      </w:pPr>
      <w:r w:rsidRPr="005552C3">
        <w:rPr>
          <w:color w:val="000000" w:themeColor="text1"/>
          <w:lang w:val="en-US"/>
        </w:rPr>
        <w:t xml:space="preserve">The introduction of the capacity market does not significantly impact the shutdown of lignite-fired generating units. In the first ten years of the analysis, the volume of capacity available in the system is the same for both scenarios; the demand for lignite decreases in the analyzed period regardless of the scenario considered. There are also specific periods for which characteristic differences between </w:t>
      </w:r>
      <w:r>
        <w:rPr>
          <w:color w:val="000000" w:themeColor="text1"/>
          <w:lang w:val="en-US"/>
        </w:rPr>
        <w:t xml:space="preserve">the </w:t>
      </w:r>
      <w:r w:rsidRPr="005552C3">
        <w:rPr>
          <w:color w:val="000000" w:themeColor="text1"/>
          <w:lang w:val="en-US"/>
        </w:rPr>
        <w:t>scenarios are observed:</w:t>
      </w:r>
    </w:p>
    <w:p w:rsidR="00DF6BAA" w:rsidRPr="005552C3" w:rsidRDefault="00DF6BAA" w:rsidP="00DF6BAA">
      <w:pPr>
        <w:pStyle w:val="Akapitzlist"/>
        <w:numPr>
          <w:ilvl w:val="1"/>
          <w:numId w:val="3"/>
        </w:numPr>
        <w:rPr>
          <w:color w:val="000000" w:themeColor="text1"/>
          <w:lang w:val="en-US"/>
        </w:rPr>
      </w:pPr>
      <w:r w:rsidRPr="005552C3">
        <w:rPr>
          <w:lang w:val="en-US"/>
        </w:rPr>
        <w:t>2021–2030: the demand for lignite in both analyzed scenarios decreases from 59.4 million Mg to 50.2 million Mg;</w:t>
      </w:r>
    </w:p>
    <w:p w:rsidR="00DF6BAA" w:rsidRPr="001B5FD9" w:rsidRDefault="00DF6BAA" w:rsidP="00DF6BAA">
      <w:pPr>
        <w:pStyle w:val="Akapitzlist"/>
        <w:numPr>
          <w:ilvl w:val="1"/>
          <w:numId w:val="3"/>
        </w:numPr>
        <w:rPr>
          <w:color w:val="000000" w:themeColor="text1"/>
          <w:lang w:val="en-US"/>
        </w:rPr>
      </w:pPr>
      <w:r w:rsidRPr="005552C3">
        <w:rPr>
          <w:lang w:val="en-US"/>
        </w:rPr>
        <w:t>203</w:t>
      </w:r>
      <w:r>
        <w:rPr>
          <w:lang w:val="en-US"/>
        </w:rPr>
        <w:t>1</w:t>
      </w:r>
      <w:r w:rsidRPr="005552C3">
        <w:rPr>
          <w:lang w:val="en-US"/>
        </w:rPr>
        <w:t>–203</w:t>
      </w:r>
      <w:r>
        <w:rPr>
          <w:lang w:val="en-US"/>
        </w:rPr>
        <w:t xml:space="preserve">2: </w:t>
      </w:r>
      <w:r w:rsidRPr="00B26800">
        <w:rPr>
          <w:lang w:val="en-US"/>
        </w:rPr>
        <w:t>the demand for lignite is reduced from 47.0 million Mg to 31.1 million Mg</w:t>
      </w:r>
      <w:r>
        <w:rPr>
          <w:lang w:val="en-US"/>
        </w:rPr>
        <w:t>; i</w:t>
      </w:r>
      <w:r w:rsidRPr="00B26800">
        <w:rPr>
          <w:lang w:val="en-US"/>
        </w:rPr>
        <w:t xml:space="preserve">n this period the </w:t>
      </w:r>
      <w:r>
        <w:rPr>
          <w:lang w:val="en-US"/>
        </w:rPr>
        <w:t>highest</w:t>
      </w:r>
      <w:r w:rsidRPr="00B26800">
        <w:rPr>
          <w:lang w:val="en-US"/>
        </w:rPr>
        <w:t xml:space="preserve"> differences between the scenarios of 47.0% and 31.1%</w:t>
      </w:r>
      <w:r>
        <w:rPr>
          <w:lang w:val="en-US"/>
        </w:rPr>
        <w:t xml:space="preserve"> are present</w:t>
      </w:r>
      <w:r w:rsidRPr="00B26800">
        <w:rPr>
          <w:lang w:val="en-US"/>
        </w:rPr>
        <w:t>;</w:t>
      </w:r>
    </w:p>
    <w:p w:rsidR="00DF6BAA" w:rsidRPr="005552C3" w:rsidRDefault="00DF6BAA" w:rsidP="00DF6BAA">
      <w:pPr>
        <w:pStyle w:val="Akapitzlist"/>
        <w:numPr>
          <w:ilvl w:val="1"/>
          <w:numId w:val="3"/>
        </w:numPr>
        <w:rPr>
          <w:color w:val="000000" w:themeColor="text1"/>
          <w:lang w:val="en-US"/>
        </w:rPr>
      </w:pPr>
      <w:r w:rsidRPr="005552C3">
        <w:rPr>
          <w:lang w:val="en-US"/>
        </w:rPr>
        <w:t>2033–2034: the demand for lignite is reduced to 21.3 million Mg under the RM scenario and is slightly higher than the demand under the REE scenario;</w:t>
      </w:r>
    </w:p>
    <w:p w:rsidR="00DF6BAA" w:rsidRPr="005552C3" w:rsidRDefault="00DF6BAA" w:rsidP="00DF6BAA">
      <w:pPr>
        <w:pStyle w:val="Akapitzlist"/>
        <w:numPr>
          <w:ilvl w:val="1"/>
          <w:numId w:val="3"/>
        </w:numPr>
        <w:rPr>
          <w:color w:val="000000" w:themeColor="text1"/>
          <w:lang w:val="en-US"/>
        </w:rPr>
      </w:pPr>
      <w:r w:rsidRPr="005552C3">
        <w:rPr>
          <w:lang w:val="en-US"/>
        </w:rPr>
        <w:lastRenderedPageBreak/>
        <w:t>2035–2036: the demand for lignite decreases from 18.0 million Mg to 13.6 million Mg in both analyzed scenarios;</w:t>
      </w:r>
    </w:p>
    <w:p w:rsidR="00DF6BAA" w:rsidRPr="005552C3" w:rsidRDefault="00DF6BAA" w:rsidP="00DF6BAA">
      <w:pPr>
        <w:pStyle w:val="Akapitzlist"/>
        <w:numPr>
          <w:ilvl w:val="1"/>
          <w:numId w:val="3"/>
        </w:numPr>
        <w:spacing w:before="120" w:after="120"/>
        <w:rPr>
          <w:lang w:val="en-US"/>
        </w:rPr>
      </w:pPr>
      <w:r w:rsidRPr="005552C3">
        <w:rPr>
          <w:lang w:val="en-US"/>
        </w:rPr>
        <w:t>2037–2040: the demand for lignite decreases and in 2040 reaches 4.1 million Mg under the RM scenario; it is then 14.3% lower than under the REE scenario;</w:t>
      </w:r>
    </w:p>
    <w:p w:rsidR="00DF6BAA" w:rsidRPr="005552C3" w:rsidRDefault="00DF6BAA" w:rsidP="00DF6BAA">
      <w:pPr>
        <w:pStyle w:val="Akapitzlist"/>
        <w:numPr>
          <w:ilvl w:val="0"/>
          <w:numId w:val="3"/>
        </w:numPr>
        <w:rPr>
          <w:color w:val="000000" w:themeColor="text1"/>
          <w:lang w:val="en-US"/>
        </w:rPr>
      </w:pPr>
      <w:r w:rsidRPr="005552C3">
        <w:rPr>
          <w:color w:val="000000" w:themeColor="text1"/>
          <w:lang w:val="en-US"/>
        </w:rPr>
        <w:t>The operating of the capacity market ensures that reserves of achievable capacity in the power generation system</w:t>
      </w:r>
      <w:r>
        <w:rPr>
          <w:color w:val="000000" w:themeColor="text1"/>
          <w:lang w:val="en-US"/>
        </w:rPr>
        <w:t xml:space="preserve"> are available</w:t>
      </w:r>
      <w:r w:rsidRPr="005552C3">
        <w:rPr>
          <w:color w:val="000000" w:themeColor="text1"/>
          <w:lang w:val="en-US"/>
        </w:rPr>
        <w:t xml:space="preserve">. As a consequence, energy security is improved. The implementation of the capacity remuneration mechanism, therefore, ensures the stability of supply during the </w:t>
      </w:r>
      <w:proofErr w:type="spellStart"/>
      <w:r w:rsidRPr="005552C3">
        <w:rPr>
          <w:color w:val="000000" w:themeColor="text1"/>
          <w:lang w:val="en-US"/>
        </w:rPr>
        <w:t>decarbonization</w:t>
      </w:r>
      <w:proofErr w:type="spellEnd"/>
      <w:r w:rsidRPr="005552C3">
        <w:rPr>
          <w:color w:val="000000" w:themeColor="text1"/>
          <w:lang w:val="en-US"/>
        </w:rPr>
        <w:t xml:space="preserve"> process of the Polish power generation system</w:t>
      </w:r>
      <w:r>
        <w:rPr>
          <w:color w:val="000000" w:themeColor="text1"/>
          <w:lang w:val="en-US"/>
        </w:rPr>
        <w:t>;</w:t>
      </w:r>
    </w:p>
    <w:p w:rsidR="00DF6BAA" w:rsidRPr="005552C3" w:rsidRDefault="00DF6BAA" w:rsidP="00DF6BAA">
      <w:pPr>
        <w:pStyle w:val="Akapitzlist"/>
        <w:numPr>
          <w:ilvl w:val="0"/>
          <w:numId w:val="3"/>
        </w:numPr>
        <w:rPr>
          <w:color w:val="000000" w:themeColor="text1"/>
          <w:lang w:val="en-US"/>
        </w:rPr>
      </w:pPr>
      <w:r w:rsidRPr="005552C3">
        <w:rPr>
          <w:color w:val="000000" w:themeColor="text1"/>
          <w:lang w:val="en-US"/>
        </w:rPr>
        <w:t xml:space="preserve">The capacity market introduction also means lower electricity prices in each year analyzed. Electricity prices under the REE scenario are from PLN 265.13 to 359.58 / MWh, and electricity prices under the RM scenario are at the level of PLN 203.12 to 323.04 / MWh. Although the price of electricity under the RM scenario is lower from 8.15% to 35.14% compared to the prices obtained under the REE scenario, it does not necessarily mean lower total purchase costs of electricity for the consumers, because the costs of operating the </w:t>
      </w:r>
      <w:r>
        <w:rPr>
          <w:color w:val="000000" w:themeColor="text1"/>
          <w:lang w:val="en-US"/>
        </w:rPr>
        <w:t>capacity</w:t>
      </w:r>
      <w:r w:rsidRPr="005552C3">
        <w:rPr>
          <w:color w:val="000000" w:themeColor="text1"/>
          <w:lang w:val="en-US"/>
        </w:rPr>
        <w:t xml:space="preserve"> market are transferred to final users.</w:t>
      </w:r>
    </w:p>
    <w:p w:rsidR="00DF6BAA" w:rsidRPr="005552C3" w:rsidRDefault="00DF6BAA" w:rsidP="00DF6BAA">
      <w:pPr>
        <w:rPr>
          <w:lang w:val="en-US"/>
        </w:rPr>
      </w:pPr>
      <w:r w:rsidRPr="005552C3">
        <w:rPr>
          <w:lang w:val="en-US"/>
        </w:rPr>
        <w:t xml:space="preserve">The research carried out in this dissertation is the first research on the quantitative assessment of the impact of the capacity market implementation on </w:t>
      </w:r>
      <w:r>
        <w:rPr>
          <w:lang w:val="en-US"/>
        </w:rPr>
        <w:t xml:space="preserve">the </w:t>
      </w:r>
      <w:r w:rsidRPr="005552C3">
        <w:rPr>
          <w:lang w:val="en-US"/>
        </w:rPr>
        <w:t xml:space="preserve">demand for solid fossil fuels for electricity production. Since the capacity market </w:t>
      </w:r>
      <w:r>
        <w:rPr>
          <w:lang w:val="en-US"/>
        </w:rPr>
        <w:t>was</w:t>
      </w:r>
      <w:r w:rsidRPr="005552C3">
        <w:rPr>
          <w:lang w:val="en-US"/>
        </w:rPr>
        <w:t xml:space="preserve"> introduced in Poland relatively recently, the results of the analy</w:t>
      </w:r>
      <w:r>
        <w:rPr>
          <w:lang w:val="en-US"/>
        </w:rPr>
        <w:t>s</w:t>
      </w:r>
      <w:r w:rsidRPr="005552C3">
        <w:rPr>
          <w:lang w:val="en-US"/>
        </w:rPr>
        <w:t>es and the conclusions drawn on their basis constitute a</w:t>
      </w:r>
      <w:r>
        <w:rPr>
          <w:lang w:val="en-US"/>
        </w:rPr>
        <w:t> </w:t>
      </w:r>
      <w:r w:rsidRPr="005552C3">
        <w:rPr>
          <w:lang w:val="en-US"/>
        </w:rPr>
        <w:t xml:space="preserve">significant contribution to the national discussion on the legitimacy and consequences of implementing capacity </w:t>
      </w:r>
      <w:r>
        <w:rPr>
          <w:lang w:val="en-US"/>
        </w:rPr>
        <w:t>remuneration</w:t>
      </w:r>
      <w:r w:rsidRPr="005552C3">
        <w:rPr>
          <w:lang w:val="en-US"/>
        </w:rPr>
        <w:t xml:space="preserve"> mechanisms.</w:t>
      </w:r>
    </w:p>
    <w:p w:rsidR="00DF6BAA" w:rsidRPr="008A2C75" w:rsidRDefault="00DF6BAA" w:rsidP="00A71F65">
      <w:pPr>
        <w:rPr>
          <w:rFonts w:eastAsiaTheme="majorEastAsia" w:cstheme="majorBidi"/>
          <w:b/>
          <w:sz w:val="28"/>
          <w:szCs w:val="32"/>
        </w:rPr>
      </w:pPr>
      <w:bookmarkStart w:id="5" w:name="_GoBack"/>
      <w:bookmarkEnd w:id="5"/>
    </w:p>
    <w:sectPr w:rsidR="00DF6BAA" w:rsidRPr="008A2C75" w:rsidSect="00C33695">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7460"/>
    <w:multiLevelType w:val="hybridMultilevel"/>
    <w:tmpl w:val="A35CB3FA"/>
    <w:lvl w:ilvl="0" w:tplc="F074540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302972"/>
    <w:multiLevelType w:val="hybridMultilevel"/>
    <w:tmpl w:val="816200CC"/>
    <w:lvl w:ilvl="0" w:tplc="DC02D5EA">
      <w:start w:val="1"/>
      <w:numFmt w:val="bullet"/>
      <w:lvlText w:val=""/>
      <w:lvlJc w:val="left"/>
      <w:pPr>
        <w:ind w:left="360" w:hanging="360"/>
      </w:pPr>
      <w:rPr>
        <w:rFonts w:ascii="Symbol"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371674EB"/>
    <w:multiLevelType w:val="hybridMultilevel"/>
    <w:tmpl w:val="40F0AE3A"/>
    <w:lvl w:ilvl="0" w:tplc="5AEEB9AA">
      <w:start w:val="1"/>
      <w:numFmt w:val="decimal"/>
      <w:lvlText w:val="%1."/>
      <w:lvlJc w:val="left"/>
      <w:pPr>
        <w:ind w:left="720" w:hanging="360"/>
      </w:pPr>
      <w:rPr>
        <w:rFonts w:hint="default"/>
        <w:color w:val="000000" w:themeColor="text1"/>
      </w:rPr>
    </w:lvl>
    <w:lvl w:ilvl="1" w:tplc="38CA2666">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C202B4"/>
    <w:multiLevelType w:val="hybridMultilevel"/>
    <w:tmpl w:val="A8EC0A94"/>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734E40"/>
    <w:multiLevelType w:val="hybridMultilevel"/>
    <w:tmpl w:val="5E60FFC2"/>
    <w:lvl w:ilvl="0" w:tplc="F0745406">
      <w:start w:val="1"/>
      <w:numFmt w:val="bullet"/>
      <w:lvlText w:val="‒"/>
      <w:lvlJc w:val="left"/>
      <w:pPr>
        <w:ind w:left="1077" w:hanging="360"/>
      </w:pPr>
      <w:rPr>
        <w:rFonts w:ascii="Times New Roman" w:hAnsi="Times New Roman" w:cs="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4C0819DE"/>
    <w:multiLevelType w:val="hybridMultilevel"/>
    <w:tmpl w:val="E9F6375C"/>
    <w:lvl w:ilvl="0" w:tplc="5AEEB9AA">
      <w:start w:val="1"/>
      <w:numFmt w:val="decimal"/>
      <w:lvlText w:val="%1."/>
      <w:lvlJc w:val="left"/>
      <w:pPr>
        <w:ind w:left="720" w:hanging="360"/>
      </w:pPr>
      <w:rPr>
        <w:rFonts w:hint="default"/>
        <w:color w:val="000000" w:themeColor="text1"/>
      </w:rPr>
    </w:lvl>
    <w:lvl w:ilvl="1" w:tplc="38CA2666">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772E6B"/>
    <w:multiLevelType w:val="hybridMultilevel"/>
    <w:tmpl w:val="0FA21C48"/>
    <w:lvl w:ilvl="0" w:tplc="F07454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yNLA0NbIwNzS0MDRT0lEKTi0uzszPAykwNK4FAGWxeVstAAAA"/>
  </w:docVars>
  <w:rsids>
    <w:rsidRoot w:val="00635AC3"/>
    <w:rsid w:val="0002211E"/>
    <w:rsid w:val="0005642A"/>
    <w:rsid w:val="00073E70"/>
    <w:rsid w:val="000B4191"/>
    <w:rsid w:val="000F2E5B"/>
    <w:rsid w:val="0011341E"/>
    <w:rsid w:val="00117BFE"/>
    <w:rsid w:val="001353EF"/>
    <w:rsid w:val="00156A1A"/>
    <w:rsid w:val="001574B8"/>
    <w:rsid w:val="0017213E"/>
    <w:rsid w:val="00193863"/>
    <w:rsid w:val="001B0E12"/>
    <w:rsid w:val="001B5FD9"/>
    <w:rsid w:val="001C58F6"/>
    <w:rsid w:val="002162E1"/>
    <w:rsid w:val="00243773"/>
    <w:rsid w:val="002A3AF7"/>
    <w:rsid w:val="002B7EF6"/>
    <w:rsid w:val="002C3A21"/>
    <w:rsid w:val="002D6A0C"/>
    <w:rsid w:val="002E4EBD"/>
    <w:rsid w:val="002E615A"/>
    <w:rsid w:val="002F34C1"/>
    <w:rsid w:val="002F4269"/>
    <w:rsid w:val="00303800"/>
    <w:rsid w:val="0032346C"/>
    <w:rsid w:val="00324E21"/>
    <w:rsid w:val="003415D9"/>
    <w:rsid w:val="00343608"/>
    <w:rsid w:val="00352A06"/>
    <w:rsid w:val="00352C48"/>
    <w:rsid w:val="003607BE"/>
    <w:rsid w:val="00397FF8"/>
    <w:rsid w:val="003B2215"/>
    <w:rsid w:val="003C6B2E"/>
    <w:rsid w:val="003E164F"/>
    <w:rsid w:val="003E25E0"/>
    <w:rsid w:val="00424E7B"/>
    <w:rsid w:val="00427DC3"/>
    <w:rsid w:val="004360B8"/>
    <w:rsid w:val="004457F4"/>
    <w:rsid w:val="00446701"/>
    <w:rsid w:val="00451B1E"/>
    <w:rsid w:val="004526D8"/>
    <w:rsid w:val="00463A56"/>
    <w:rsid w:val="00465CC5"/>
    <w:rsid w:val="004811E9"/>
    <w:rsid w:val="00482746"/>
    <w:rsid w:val="00495E09"/>
    <w:rsid w:val="004B3522"/>
    <w:rsid w:val="00504621"/>
    <w:rsid w:val="005508A2"/>
    <w:rsid w:val="00551791"/>
    <w:rsid w:val="00554303"/>
    <w:rsid w:val="005552C3"/>
    <w:rsid w:val="00562709"/>
    <w:rsid w:val="0056433F"/>
    <w:rsid w:val="00575AF8"/>
    <w:rsid w:val="00597C3C"/>
    <w:rsid w:val="005B078B"/>
    <w:rsid w:val="005C0C7F"/>
    <w:rsid w:val="005D7DDA"/>
    <w:rsid w:val="0060593E"/>
    <w:rsid w:val="00625B7C"/>
    <w:rsid w:val="00635AC3"/>
    <w:rsid w:val="00642A14"/>
    <w:rsid w:val="006721FE"/>
    <w:rsid w:val="006B1C31"/>
    <w:rsid w:val="006B3063"/>
    <w:rsid w:val="006E5FA1"/>
    <w:rsid w:val="006F0EE2"/>
    <w:rsid w:val="0071315D"/>
    <w:rsid w:val="007343C5"/>
    <w:rsid w:val="00752519"/>
    <w:rsid w:val="00757CDF"/>
    <w:rsid w:val="00760210"/>
    <w:rsid w:val="007643DE"/>
    <w:rsid w:val="007654B5"/>
    <w:rsid w:val="007664F7"/>
    <w:rsid w:val="007672A1"/>
    <w:rsid w:val="00776F5B"/>
    <w:rsid w:val="00785FF6"/>
    <w:rsid w:val="007A6AD4"/>
    <w:rsid w:val="007B2D8E"/>
    <w:rsid w:val="007C32BC"/>
    <w:rsid w:val="00824C8E"/>
    <w:rsid w:val="00831EE6"/>
    <w:rsid w:val="00872000"/>
    <w:rsid w:val="00884481"/>
    <w:rsid w:val="00897E96"/>
    <w:rsid w:val="008A2C75"/>
    <w:rsid w:val="008A635A"/>
    <w:rsid w:val="008B61B0"/>
    <w:rsid w:val="008C5777"/>
    <w:rsid w:val="008E5FF5"/>
    <w:rsid w:val="009156DE"/>
    <w:rsid w:val="00922F4B"/>
    <w:rsid w:val="00940C19"/>
    <w:rsid w:val="0094397D"/>
    <w:rsid w:val="009442D2"/>
    <w:rsid w:val="00953145"/>
    <w:rsid w:val="00977F46"/>
    <w:rsid w:val="009B4EFC"/>
    <w:rsid w:val="009C2E4F"/>
    <w:rsid w:val="009D3AA1"/>
    <w:rsid w:val="00A03FC6"/>
    <w:rsid w:val="00A208CE"/>
    <w:rsid w:val="00A273DA"/>
    <w:rsid w:val="00A32887"/>
    <w:rsid w:val="00A56446"/>
    <w:rsid w:val="00A71F65"/>
    <w:rsid w:val="00A901E7"/>
    <w:rsid w:val="00A90E88"/>
    <w:rsid w:val="00A942D9"/>
    <w:rsid w:val="00AC03D3"/>
    <w:rsid w:val="00AD229E"/>
    <w:rsid w:val="00AE7814"/>
    <w:rsid w:val="00AF3078"/>
    <w:rsid w:val="00B100F3"/>
    <w:rsid w:val="00B26800"/>
    <w:rsid w:val="00B2699C"/>
    <w:rsid w:val="00B41029"/>
    <w:rsid w:val="00BA2175"/>
    <w:rsid w:val="00BA5284"/>
    <w:rsid w:val="00C15B7C"/>
    <w:rsid w:val="00C2294C"/>
    <w:rsid w:val="00C54688"/>
    <w:rsid w:val="00C70CF5"/>
    <w:rsid w:val="00C777AE"/>
    <w:rsid w:val="00CD0D5B"/>
    <w:rsid w:val="00CE2590"/>
    <w:rsid w:val="00CF0AB0"/>
    <w:rsid w:val="00D1785C"/>
    <w:rsid w:val="00D41370"/>
    <w:rsid w:val="00D432AC"/>
    <w:rsid w:val="00D52430"/>
    <w:rsid w:val="00D57646"/>
    <w:rsid w:val="00D61CB2"/>
    <w:rsid w:val="00D6296F"/>
    <w:rsid w:val="00D63068"/>
    <w:rsid w:val="00D67D4A"/>
    <w:rsid w:val="00D77A58"/>
    <w:rsid w:val="00D91470"/>
    <w:rsid w:val="00DA5CD6"/>
    <w:rsid w:val="00DA6619"/>
    <w:rsid w:val="00DB2AD6"/>
    <w:rsid w:val="00DE0FD8"/>
    <w:rsid w:val="00DF6833"/>
    <w:rsid w:val="00DF6BAA"/>
    <w:rsid w:val="00E001BA"/>
    <w:rsid w:val="00E149B4"/>
    <w:rsid w:val="00E15747"/>
    <w:rsid w:val="00E37C4C"/>
    <w:rsid w:val="00E654BD"/>
    <w:rsid w:val="00E857D1"/>
    <w:rsid w:val="00EB2417"/>
    <w:rsid w:val="00EF0CE4"/>
    <w:rsid w:val="00EF7C56"/>
    <w:rsid w:val="00F0791C"/>
    <w:rsid w:val="00F26146"/>
    <w:rsid w:val="00F37E00"/>
    <w:rsid w:val="00F80CB7"/>
    <w:rsid w:val="00F968BA"/>
    <w:rsid w:val="00FA3E85"/>
    <w:rsid w:val="00FA6E3F"/>
    <w:rsid w:val="00FA715C"/>
    <w:rsid w:val="00FE7594"/>
    <w:rsid w:val="00FF02A2"/>
    <w:rsid w:val="00FF3A97"/>
    <w:rsid w:val="00FF4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AC3"/>
    <w:pPr>
      <w:spacing w:before="120" w:after="120" w:line="276" w:lineRule="auto"/>
      <w:jc w:val="both"/>
    </w:pPr>
    <w:rPr>
      <w:rFonts w:ascii="Times New Roman" w:hAnsi="Times New Roman"/>
      <w:sz w:val="24"/>
    </w:rPr>
  </w:style>
  <w:style w:type="paragraph" w:styleId="Nagwek1">
    <w:name w:val="heading 1"/>
    <w:basedOn w:val="Normalny"/>
    <w:next w:val="Normalny"/>
    <w:link w:val="Nagwek1Znak"/>
    <w:uiPriority w:val="9"/>
    <w:qFormat/>
    <w:rsid w:val="00635AC3"/>
    <w:pPr>
      <w:keepNext/>
      <w:keepLines/>
      <w:spacing w:before="240" w:after="240" w:line="240" w:lineRule="auto"/>
      <w:outlineLvl w:val="0"/>
    </w:pPr>
    <w:rPr>
      <w:rFonts w:eastAsiaTheme="majorEastAsia" w:cstheme="majorBidi"/>
      <w:b/>
      <w:sz w:val="28"/>
      <w:szCs w:val="32"/>
    </w:rPr>
  </w:style>
  <w:style w:type="paragraph" w:styleId="Nagwek2">
    <w:name w:val="heading 2"/>
    <w:basedOn w:val="Normalny"/>
    <w:next w:val="Normalny"/>
    <w:link w:val="Nagwek2Znak"/>
    <w:uiPriority w:val="9"/>
    <w:semiHidden/>
    <w:unhideWhenUsed/>
    <w:qFormat/>
    <w:rsid w:val="009D3A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35AC3"/>
    <w:rPr>
      <w:rFonts w:ascii="Times New Roman" w:eastAsiaTheme="majorEastAsia" w:hAnsi="Times New Roman" w:cstheme="majorBidi"/>
      <w:b/>
      <w:sz w:val="28"/>
      <w:szCs w:val="32"/>
    </w:rPr>
  </w:style>
  <w:style w:type="paragraph" w:styleId="Akapitzlist">
    <w:name w:val="List Paragraph"/>
    <w:basedOn w:val="Normalny"/>
    <w:uiPriority w:val="34"/>
    <w:qFormat/>
    <w:rsid w:val="00635AC3"/>
    <w:pPr>
      <w:spacing w:before="240" w:after="240"/>
      <w:ind w:left="1077" w:hanging="720"/>
    </w:pPr>
  </w:style>
  <w:style w:type="character" w:styleId="Odwoaniedokomentarza">
    <w:name w:val="annotation reference"/>
    <w:basedOn w:val="Domylnaczcionkaakapitu"/>
    <w:uiPriority w:val="99"/>
    <w:semiHidden/>
    <w:unhideWhenUsed/>
    <w:rsid w:val="00E857D1"/>
    <w:rPr>
      <w:sz w:val="16"/>
      <w:szCs w:val="16"/>
    </w:rPr>
  </w:style>
  <w:style w:type="paragraph" w:styleId="Tekstkomentarza">
    <w:name w:val="annotation text"/>
    <w:basedOn w:val="Normalny"/>
    <w:link w:val="TekstkomentarzaZnak"/>
    <w:uiPriority w:val="99"/>
    <w:semiHidden/>
    <w:unhideWhenUsed/>
    <w:rsid w:val="00E857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57D1"/>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E857D1"/>
    <w:rPr>
      <w:b/>
      <w:bCs/>
    </w:rPr>
  </w:style>
  <w:style w:type="character" w:customStyle="1" w:styleId="TematkomentarzaZnak">
    <w:name w:val="Temat komentarza Znak"/>
    <w:basedOn w:val="TekstkomentarzaZnak"/>
    <w:link w:val="Tematkomentarza"/>
    <w:uiPriority w:val="99"/>
    <w:semiHidden/>
    <w:rsid w:val="00E857D1"/>
    <w:rPr>
      <w:rFonts w:ascii="Times New Roman" w:hAnsi="Times New Roman"/>
      <w:b/>
      <w:bCs/>
      <w:sz w:val="20"/>
      <w:szCs w:val="20"/>
    </w:rPr>
  </w:style>
  <w:style w:type="paragraph" w:styleId="Tekstdymka">
    <w:name w:val="Balloon Text"/>
    <w:basedOn w:val="Normalny"/>
    <w:link w:val="TekstdymkaZnak"/>
    <w:uiPriority w:val="99"/>
    <w:semiHidden/>
    <w:unhideWhenUsed/>
    <w:rsid w:val="00E857D1"/>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57D1"/>
    <w:rPr>
      <w:rFonts w:ascii="Segoe UI" w:hAnsi="Segoe UI" w:cs="Segoe UI"/>
      <w:sz w:val="18"/>
      <w:szCs w:val="18"/>
    </w:rPr>
  </w:style>
  <w:style w:type="character" w:customStyle="1" w:styleId="Nagwek2Znak">
    <w:name w:val="Nagłówek 2 Znak"/>
    <w:basedOn w:val="Domylnaczcionkaakapitu"/>
    <w:link w:val="Nagwek2"/>
    <w:uiPriority w:val="9"/>
    <w:rsid w:val="009D3AA1"/>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AC3"/>
    <w:pPr>
      <w:spacing w:before="120" w:after="120" w:line="276" w:lineRule="auto"/>
      <w:jc w:val="both"/>
    </w:pPr>
    <w:rPr>
      <w:rFonts w:ascii="Times New Roman" w:hAnsi="Times New Roman"/>
      <w:sz w:val="24"/>
    </w:rPr>
  </w:style>
  <w:style w:type="paragraph" w:styleId="Nagwek1">
    <w:name w:val="heading 1"/>
    <w:basedOn w:val="Normalny"/>
    <w:next w:val="Normalny"/>
    <w:link w:val="Nagwek1Znak"/>
    <w:uiPriority w:val="9"/>
    <w:qFormat/>
    <w:rsid w:val="00635AC3"/>
    <w:pPr>
      <w:keepNext/>
      <w:keepLines/>
      <w:spacing w:before="240" w:after="240" w:line="240" w:lineRule="auto"/>
      <w:outlineLvl w:val="0"/>
    </w:pPr>
    <w:rPr>
      <w:rFonts w:eastAsiaTheme="majorEastAsia" w:cstheme="majorBidi"/>
      <w:b/>
      <w:sz w:val="28"/>
      <w:szCs w:val="32"/>
    </w:rPr>
  </w:style>
  <w:style w:type="paragraph" w:styleId="Nagwek2">
    <w:name w:val="heading 2"/>
    <w:basedOn w:val="Normalny"/>
    <w:next w:val="Normalny"/>
    <w:link w:val="Nagwek2Znak"/>
    <w:uiPriority w:val="9"/>
    <w:semiHidden/>
    <w:unhideWhenUsed/>
    <w:qFormat/>
    <w:rsid w:val="009D3A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35AC3"/>
    <w:rPr>
      <w:rFonts w:ascii="Times New Roman" w:eastAsiaTheme="majorEastAsia" w:hAnsi="Times New Roman" w:cstheme="majorBidi"/>
      <w:b/>
      <w:sz w:val="28"/>
      <w:szCs w:val="32"/>
    </w:rPr>
  </w:style>
  <w:style w:type="paragraph" w:styleId="Akapitzlist">
    <w:name w:val="List Paragraph"/>
    <w:basedOn w:val="Normalny"/>
    <w:uiPriority w:val="34"/>
    <w:qFormat/>
    <w:rsid w:val="00635AC3"/>
    <w:pPr>
      <w:spacing w:before="240" w:after="240"/>
      <w:ind w:left="1077" w:hanging="720"/>
    </w:pPr>
  </w:style>
  <w:style w:type="character" w:styleId="Odwoaniedokomentarza">
    <w:name w:val="annotation reference"/>
    <w:basedOn w:val="Domylnaczcionkaakapitu"/>
    <w:uiPriority w:val="99"/>
    <w:semiHidden/>
    <w:unhideWhenUsed/>
    <w:rsid w:val="00E857D1"/>
    <w:rPr>
      <w:sz w:val="16"/>
      <w:szCs w:val="16"/>
    </w:rPr>
  </w:style>
  <w:style w:type="paragraph" w:styleId="Tekstkomentarza">
    <w:name w:val="annotation text"/>
    <w:basedOn w:val="Normalny"/>
    <w:link w:val="TekstkomentarzaZnak"/>
    <w:uiPriority w:val="99"/>
    <w:semiHidden/>
    <w:unhideWhenUsed/>
    <w:rsid w:val="00E857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57D1"/>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E857D1"/>
    <w:rPr>
      <w:b/>
      <w:bCs/>
    </w:rPr>
  </w:style>
  <w:style w:type="character" w:customStyle="1" w:styleId="TematkomentarzaZnak">
    <w:name w:val="Temat komentarza Znak"/>
    <w:basedOn w:val="TekstkomentarzaZnak"/>
    <w:link w:val="Tematkomentarza"/>
    <w:uiPriority w:val="99"/>
    <w:semiHidden/>
    <w:rsid w:val="00E857D1"/>
    <w:rPr>
      <w:rFonts w:ascii="Times New Roman" w:hAnsi="Times New Roman"/>
      <w:b/>
      <w:bCs/>
      <w:sz w:val="20"/>
      <w:szCs w:val="20"/>
    </w:rPr>
  </w:style>
  <w:style w:type="paragraph" w:styleId="Tekstdymka">
    <w:name w:val="Balloon Text"/>
    <w:basedOn w:val="Normalny"/>
    <w:link w:val="TekstdymkaZnak"/>
    <w:uiPriority w:val="99"/>
    <w:semiHidden/>
    <w:unhideWhenUsed/>
    <w:rsid w:val="00E857D1"/>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57D1"/>
    <w:rPr>
      <w:rFonts w:ascii="Segoe UI" w:hAnsi="Segoe UI" w:cs="Segoe UI"/>
      <w:sz w:val="18"/>
      <w:szCs w:val="18"/>
    </w:rPr>
  </w:style>
  <w:style w:type="character" w:customStyle="1" w:styleId="Nagwek2Znak">
    <w:name w:val="Nagłówek 2 Znak"/>
    <w:basedOn w:val="Domylnaczcionkaakapitu"/>
    <w:link w:val="Nagwek2"/>
    <w:uiPriority w:val="9"/>
    <w:rsid w:val="009D3AA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6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2130</Words>
  <Characters>12780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Komorowska</dc:creator>
  <cp:lastModifiedBy>Anna Goleniowska</cp:lastModifiedBy>
  <cp:revision>2</cp:revision>
  <cp:lastPrinted>2020-06-15T10:09:00Z</cp:lastPrinted>
  <dcterms:created xsi:type="dcterms:W3CDTF">2020-10-13T13:01:00Z</dcterms:created>
  <dcterms:modified xsi:type="dcterms:W3CDTF">2020-10-13T13:01:00Z</dcterms:modified>
</cp:coreProperties>
</file>